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7BB" w:rsidRPr="00F317BB" w:rsidRDefault="00F317BB" w:rsidP="00F317BB">
      <w:pPr>
        <w:shd w:val="clear" w:color="auto" w:fill="FFFFFF"/>
        <w:spacing w:after="150" w:line="240" w:lineRule="auto"/>
        <w:jc w:val="center"/>
        <w:rPr>
          <w:rFonts w:ascii="Times New Roman" w:eastAsia="Times New Roman" w:hAnsi="Times New Roman" w:cs="Times New Roman"/>
          <w:b/>
          <w:color w:val="1A1A1A"/>
          <w:sz w:val="24"/>
          <w:szCs w:val="24"/>
          <w:lang w:eastAsia="ru-RU"/>
        </w:rPr>
      </w:pPr>
      <w:r w:rsidRPr="00F317BB">
        <w:rPr>
          <w:rFonts w:ascii="Times New Roman" w:eastAsia="Times New Roman" w:hAnsi="Times New Roman" w:cs="Times New Roman"/>
          <w:b/>
          <w:bCs/>
          <w:color w:val="1A1A1A"/>
          <w:sz w:val="24"/>
          <w:szCs w:val="24"/>
          <w:lang w:eastAsia="ru-RU"/>
        </w:rPr>
        <w:t>Обзор правоприменительной практики ФМБА России при осуществлении государственного контроля за обеспечением безопасности донорской крови и ее компонентов в 2017 году</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bCs/>
          <w:color w:val="1A1A1A"/>
          <w:sz w:val="24"/>
          <w:szCs w:val="24"/>
          <w:lang w:eastAsia="ru-RU"/>
        </w:rPr>
        <w:t> </w:t>
      </w:r>
      <w:r w:rsidRPr="00F317BB">
        <w:rPr>
          <w:rFonts w:ascii="Times New Roman" w:eastAsia="Times New Roman" w:hAnsi="Times New Roman" w:cs="Times New Roman"/>
          <w:color w:val="1A1A1A"/>
          <w:sz w:val="24"/>
          <w:szCs w:val="24"/>
          <w:lang w:eastAsia="ru-RU"/>
        </w:rPr>
        <w:t>Настоящий обзор правоприменительной практики  МРУ №118ФМБА России при осуществлении государственного контроля за обеспечением безопасности донорской крови и ее компонентов в 2017году (далее - Обзор) подготовлен во исполнение </w:t>
      </w:r>
      <w:hyperlink r:id="rId5" w:history="1">
        <w:r w:rsidRPr="00F317BB">
          <w:rPr>
            <w:rFonts w:ascii="Times New Roman" w:eastAsia="Times New Roman" w:hAnsi="Times New Roman" w:cs="Times New Roman"/>
            <w:color w:val="0072E4"/>
            <w:sz w:val="24"/>
            <w:szCs w:val="24"/>
            <w:lang w:eastAsia="ru-RU"/>
          </w:rPr>
          <w:t>п. 3 ч. 2 ст. 8.2</w:t>
        </w:r>
      </w:hyperlink>
      <w:r w:rsidRPr="00F317BB">
        <w:rPr>
          <w:rFonts w:ascii="Times New Roman" w:eastAsia="Times New Roman" w:hAnsi="Times New Roman" w:cs="Times New Roman"/>
          <w:color w:val="1A1A1A"/>
          <w:sz w:val="24"/>
          <w:szCs w:val="24"/>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 Методических рекомендаций по обобщению и анализу правоприменительной практики контрольно-надзорной деятельности, одобренных на заседании подкомиссии по совершенствованию контрольных (надзорных) и разрешительных функций федеральных органов исполнительной власти Правительственной комиссии по проведению административной реформы от 09.09.2016 № 7, и приказа ФМБА России от 22.12.2016 № 268 «Об утверждении Методических рекомендаций по обобщению и анализу правоприменительной практики контрольно-надзорной деятельности Федерального медико-биологического агентства».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I. Общие положения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FF0000"/>
          <w:sz w:val="24"/>
          <w:szCs w:val="24"/>
          <w:lang w:eastAsia="ru-RU"/>
        </w:rPr>
      </w:pPr>
      <w:r w:rsidRPr="00F317BB">
        <w:rPr>
          <w:rFonts w:ascii="Times New Roman" w:eastAsia="Times New Roman" w:hAnsi="Times New Roman" w:cs="Times New Roman"/>
          <w:color w:val="1A1A1A"/>
          <w:sz w:val="24"/>
          <w:szCs w:val="24"/>
          <w:lang w:eastAsia="ru-RU"/>
        </w:rPr>
        <w:t> ФМБА России в соответствии с </w:t>
      </w:r>
      <w:hyperlink r:id="rId6" w:history="1">
        <w:r w:rsidRPr="00F317BB">
          <w:rPr>
            <w:rFonts w:ascii="Times New Roman" w:eastAsia="Times New Roman" w:hAnsi="Times New Roman" w:cs="Times New Roman"/>
            <w:color w:val="0072E4"/>
            <w:sz w:val="24"/>
            <w:szCs w:val="24"/>
            <w:lang w:eastAsia="ru-RU"/>
          </w:rPr>
          <w:t>Положением</w:t>
        </w:r>
      </w:hyperlink>
      <w:r w:rsidRPr="00F317BB">
        <w:rPr>
          <w:rFonts w:ascii="Times New Roman" w:eastAsia="Times New Roman" w:hAnsi="Times New Roman" w:cs="Times New Roman"/>
          <w:color w:val="1A1A1A"/>
          <w:sz w:val="24"/>
          <w:szCs w:val="24"/>
          <w:lang w:eastAsia="ru-RU"/>
        </w:rPr>
        <w:t xml:space="preserve"> о Федеральном медико-биологическом агентстве, утвержденным постановлением Правительства Российской Федерации от 11.04.2005 № 206, является федеральным органом исполнительной власти, осуществляющим функцию по государственному контролю за обеспечением безопасности донорской крови и ее </w:t>
      </w:r>
      <w:proofErr w:type="gramStart"/>
      <w:r w:rsidRPr="00F317BB">
        <w:rPr>
          <w:rFonts w:ascii="Times New Roman" w:eastAsia="Times New Roman" w:hAnsi="Times New Roman" w:cs="Times New Roman"/>
          <w:color w:val="1A1A1A"/>
          <w:sz w:val="24"/>
          <w:szCs w:val="24"/>
          <w:lang w:eastAsia="ru-RU"/>
        </w:rPr>
        <w:t>компонентов,.</w:t>
      </w:r>
      <w:proofErr w:type="gramEnd"/>
      <w:r w:rsidRPr="00F317BB">
        <w:rPr>
          <w:rFonts w:ascii="Times New Roman" w:eastAsia="Times New Roman" w:hAnsi="Times New Roman" w:cs="Times New Roman"/>
          <w:color w:val="1A1A1A"/>
          <w:sz w:val="24"/>
          <w:szCs w:val="24"/>
          <w:lang w:eastAsia="ru-RU"/>
        </w:rPr>
        <w:t xml:space="preserve"> </w:t>
      </w:r>
      <w:r w:rsidRPr="00F317BB">
        <w:rPr>
          <w:rFonts w:ascii="Times New Roman" w:eastAsia="Times New Roman" w:hAnsi="Times New Roman" w:cs="Times New Roman"/>
          <w:sz w:val="24"/>
          <w:szCs w:val="24"/>
          <w:lang w:eastAsia="ru-RU"/>
        </w:rPr>
        <w:t xml:space="preserve">Положением о Региональном управлении №118 ФМБА России, утв. Приказом ФМБА России от16 ноября 2010 №800 (с изменениями, утв. Приказом </w:t>
      </w:r>
      <w:proofErr w:type="gramStart"/>
      <w:r w:rsidRPr="00F317BB">
        <w:rPr>
          <w:rFonts w:ascii="Times New Roman" w:eastAsia="Times New Roman" w:hAnsi="Times New Roman" w:cs="Times New Roman"/>
          <w:sz w:val="24"/>
          <w:szCs w:val="24"/>
          <w:lang w:eastAsia="ru-RU"/>
        </w:rPr>
        <w:t>Федерального  медико</w:t>
      </w:r>
      <w:proofErr w:type="gramEnd"/>
      <w:r w:rsidRPr="00F317BB">
        <w:rPr>
          <w:rFonts w:ascii="Times New Roman" w:eastAsia="Times New Roman" w:hAnsi="Times New Roman" w:cs="Times New Roman"/>
          <w:sz w:val="24"/>
          <w:szCs w:val="24"/>
          <w:lang w:eastAsia="ru-RU"/>
        </w:rPr>
        <w:t>-биологического агентства от 27.11.2013 №118у) далее МРУ №118 ФМБА России.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 реализации функции по осуществлению государственного контроля за обеспечением безопасности донорской крови и ее компонентов ФМБА России руководствуется </w:t>
      </w:r>
      <w:hyperlink r:id="rId7" w:history="1">
        <w:r w:rsidRPr="00F317BB">
          <w:rPr>
            <w:rFonts w:ascii="Times New Roman" w:eastAsia="Times New Roman" w:hAnsi="Times New Roman" w:cs="Times New Roman"/>
            <w:color w:val="0072E4"/>
            <w:sz w:val="24"/>
            <w:szCs w:val="24"/>
            <w:lang w:eastAsia="ru-RU"/>
          </w:rPr>
          <w:t>Конституцией</w:t>
        </w:r>
      </w:hyperlink>
      <w:r w:rsidRPr="00F317BB">
        <w:rPr>
          <w:rFonts w:ascii="Times New Roman" w:eastAsia="Times New Roman" w:hAnsi="Times New Roman" w:cs="Times New Roman"/>
          <w:color w:val="1A1A1A"/>
          <w:sz w:val="24"/>
          <w:szCs w:val="24"/>
          <w:lang w:eastAsia="ru-RU"/>
        </w:rPr>
        <w:t> Российской Федерации, федеральными конституционными законами, а также:</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Федеральным законом от 20.07.2012 № 125-ФЗ «О донорстве крови и её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Федеральным законом от 21.11.2011 № 323-ФЗ «Об основах охраны здоровья граждан в Российской Федерации»;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06.08.2013 № 674 «Об утверждении Правил безвозмездного обеспечения медицинских, образовательных и научных организаций, подведомственных федеральным органам исполнительной власти и государственным академиям наук, а также организаций федеральных органов исполнительной власти, в которых федеральным законом предусмотрена военная и приравненная к ней служба, донорской кровью и (или) ее компонентами для клинического использования»;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05.08.2013 № 667 «О ведении единой базы данных по осуществлению мероприятий, связанных с обеспечением безопасности донорской крови и ее компонентов, развитием, организацией и пропагандой донорства крови 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lastRenderedPageBreak/>
        <w:t>Постановлением Правительства Российской Федерации от 12.04.2013 № 332 «Об утверждении Правил осуществления безвозмездной передачи донорской крови и (или) ее компонентов организациями, входящими в службу крови»;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12.04.2013 № 331 «Об утверждении Правил обеспечения медицинских, образовательных, научных и иных организаций донорской кровью и (или) ее компонентами в иных целях, кроме клинического использования»;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F317BB">
        <w:rPr>
          <w:rFonts w:ascii="Times New Roman" w:eastAsia="Times New Roman" w:hAnsi="Times New Roman" w:cs="Times New Roman"/>
          <w:color w:val="1A1A1A"/>
          <w:sz w:val="24"/>
          <w:szCs w:val="24"/>
          <w:lang w:eastAsia="ru-RU"/>
        </w:rPr>
        <w:t>Сколково</w:t>
      </w:r>
      <w:proofErr w:type="spellEnd"/>
      <w:r w:rsidRPr="00F317BB">
        <w:rPr>
          <w:rFonts w:ascii="Times New Roman" w:eastAsia="Times New Roman" w:hAnsi="Times New Roman" w:cs="Times New Roman"/>
          <w:color w:val="1A1A1A"/>
          <w:sz w:val="24"/>
          <w:szCs w:val="24"/>
          <w:lang w:eastAsia="ru-RU"/>
        </w:rPr>
        <w:t>»)»;</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31.12.2010 № 1230 «Об утверждении правил и методов исследований и правил отбора образцов донорской крови, необходимые для применения и исполнения технического регламента о требованиях безопасности крови, ее продуктов, кровезамещающих растворов и технических средств, используемых в трансфузионно-инфузионной терапии»;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Постановлением Правительства Российской Федерации от 26.01.2010 № 29 «Об утверждении технического регламента о требованиях безопасности крови, её продуктов, кровезамещающих растворов и технических средств, используемых в трансфузионно-инфузионной терапии»;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Приказом Министерства здравоохранения Российской Федерации от 19.07.2013 № 478н «Об утверждении норматива запаса донорской крови и (или) ее компонентов, а также порядок его формирования и расходования»;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Приказом Министерства здравоохранения Российской Федерации от 03.06.2013 № 348н «О порядке представления информации о реакциях и об осложнениях, возникших у реципиентов в связи с трансфузией (переливанием) донорской крови и (или) ее компонентов, в федеральный орган исполнительной власти, осуществляющий функции по организации деятельности службы крови»;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Приказом Министерства здравоохранения Российской Федерации от 02.04.2013 № 183н «Об утверждении правил клинического использования донорской крови и (или)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8"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9"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и социального развития Российской Федерации от 28.03.2012 № 278н «Об утверждении требований к организациям здравоохранения (структурным подразделениям), осуществляющим заготовку, переработку, хранение и обеспечение безопасности донорской крови и ее компонентов, и перечня оборудования для их оснащения»;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Приказом Министерства здравоохранения и социального развития Российской Федерации от 29.09.2011 № 1093н «Об утверждении административного регламента Федерального </w:t>
      </w:r>
      <w:r w:rsidRPr="00F317BB">
        <w:rPr>
          <w:rFonts w:ascii="Times New Roman" w:eastAsia="Times New Roman" w:hAnsi="Times New Roman" w:cs="Times New Roman"/>
          <w:color w:val="1A1A1A"/>
          <w:sz w:val="24"/>
          <w:szCs w:val="24"/>
          <w:lang w:eastAsia="ru-RU"/>
        </w:rPr>
        <w:lastRenderedPageBreak/>
        <w:t>медико-биологического агентства по исполнению государственной функции по контролю и надзору в сфере донорства крови 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0"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16.02.2004 № 82 «О совершенствовании работы по профилактике посттрансфузионных осложнений»;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1"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25.11.2002 № 363 «Об утверждении Инструкции по применению компонентов крови»;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2"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31.01.2002 № 25 «О введении в действие отраслевого классификатора «Консервированная кровь человека и ее компоненты»;</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3"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14.09.2001 № 364 «Об утверждении Порядка медицинского обследования донора крови и её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4"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09.01.1998 № 2 «Об утверждении инструкций по иммуносерологии»;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15" w:anchor="sub_0" w:history="1">
        <w:r w:rsidRPr="00F317BB">
          <w:rPr>
            <w:rFonts w:ascii="Times New Roman" w:eastAsia="Times New Roman" w:hAnsi="Times New Roman" w:cs="Times New Roman"/>
            <w:color w:val="0072E4"/>
            <w:sz w:val="24"/>
            <w:szCs w:val="24"/>
            <w:lang w:eastAsia="ru-RU"/>
          </w:rPr>
          <w:t>Приказ</w:t>
        </w:r>
      </w:hyperlink>
      <w:r w:rsidRPr="00F317BB">
        <w:rPr>
          <w:rFonts w:ascii="Times New Roman" w:eastAsia="Times New Roman" w:hAnsi="Times New Roman" w:cs="Times New Roman"/>
          <w:color w:val="1A1A1A"/>
          <w:sz w:val="24"/>
          <w:szCs w:val="24"/>
          <w:lang w:eastAsia="ru-RU"/>
        </w:rPr>
        <w:t>ом Министерства здравоохранения Российской Федерации от 29.05.1997 № 172 «О введении в номенклатуру врачебных и провизорских специальностей «Трансфузиология».</w:t>
      </w:r>
    </w:p>
    <w:p w:rsidR="00F317BB" w:rsidRPr="00F317BB" w:rsidRDefault="00F317BB" w:rsidP="00B94060">
      <w:pPr>
        <w:spacing w:after="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shd w:val="clear" w:color="auto" w:fill="FFFFFF"/>
          <w:lang w:eastAsia="ru-RU"/>
        </w:rPr>
        <w:br w:type="textWrapping" w:clear="all"/>
      </w:r>
      <w:r w:rsidRPr="00F317BB">
        <w:rPr>
          <w:rFonts w:ascii="Times New Roman" w:eastAsia="Times New Roman" w:hAnsi="Times New Roman" w:cs="Times New Roman"/>
          <w:color w:val="1A1A1A"/>
          <w:sz w:val="24"/>
          <w:szCs w:val="24"/>
          <w:lang w:eastAsia="ru-RU"/>
        </w:rPr>
        <w:t> II. Правоприменительная практика организации и проведения контроля государственного контроля за обеспечением безопасности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донорской крови 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Составление ежегодного плана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Планирование контрольно-надзорной деятельности осуществляется в соответствии с требованиями нормативных правовых актов: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30.06.2010 № 489.</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Плановые проверки проводятся не чаще чем один раз в три года на основании разрабатываемых и утверждаемых органами государственного контроля в соответствии с их полномочиями ежегодных планов.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Основанием для включения плановой проверки в ежегодный план проведения плановых проверок является истечение трех лет со дня: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государственной регистрации юридического лица, индивидуального предпринимателя;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окончания проведения последней плановой проверки юридического лица, индивидуального предпринимателя.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w:t>
      </w:r>
      <w:r w:rsidRPr="00F317BB">
        <w:rPr>
          <w:rFonts w:ascii="Times New Roman" w:eastAsia="Times New Roman" w:hAnsi="Times New Roman" w:cs="Times New Roman"/>
          <w:color w:val="1A1A1A"/>
          <w:sz w:val="24"/>
          <w:szCs w:val="24"/>
          <w:lang w:eastAsia="ru-RU"/>
        </w:rPr>
        <w:lastRenderedPageBreak/>
        <w:t>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цель и основание проведения каждой плановой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дата начала и сроки проведения каждой плановой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наименование органа государственного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Утвержденный руководителем органа государственного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в сети «Интернет» либо иным доступным способом.</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срок до 1 сентября года, предшествующего году проведения плановых проверок, органы государственного контроля направляют проекты ежегодных планов проведения плановых проверок в органы прокуратуры.</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и в срок до 1 октября года, предшествующего году проведения плановых проверок, вносят предложения руководителям органов государственного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Органы государственного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Основания для проведения внеплановых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Основанием для проведения внеплановой проверки является: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2) мотивированное представление должностного лица органа государственного контроля по результатам предварительной проверки поступивших в орган государственного контроля обращений и заявлений граждан, в том числе индивидуальных </w:t>
      </w:r>
      <w:r w:rsidRPr="00F317BB">
        <w:rPr>
          <w:rFonts w:ascii="Times New Roman" w:eastAsia="Times New Roman" w:hAnsi="Times New Roman" w:cs="Times New Roman"/>
          <w:color w:val="1A1A1A"/>
          <w:sz w:val="24"/>
          <w:szCs w:val="24"/>
          <w:lang w:eastAsia="ru-RU"/>
        </w:rPr>
        <w:lastRenderedPageBreak/>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а) возникновение угрозы причинения вреда жизни, здоровью граждан;</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б) причинение вреда жизни, здоровью граждан;</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приказ (распоряжение) руководителя органа государственного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6" w:history="1">
        <w:r w:rsidRPr="00F317BB">
          <w:rPr>
            <w:rFonts w:ascii="Times New Roman" w:eastAsia="Times New Roman" w:hAnsi="Times New Roman" w:cs="Times New Roman"/>
            <w:color w:val="0072E4"/>
            <w:sz w:val="24"/>
            <w:szCs w:val="24"/>
            <w:lang w:eastAsia="ru-RU"/>
          </w:rPr>
          <w:t>подпунктах «а»</w:t>
        </w:r>
      </w:hyperlink>
      <w:r w:rsidRPr="00F317BB">
        <w:rPr>
          <w:rFonts w:ascii="Times New Roman" w:eastAsia="Times New Roman" w:hAnsi="Times New Roman" w:cs="Times New Roman"/>
          <w:color w:val="1A1A1A"/>
          <w:sz w:val="24"/>
          <w:szCs w:val="24"/>
          <w:lang w:eastAsia="ru-RU"/>
        </w:rPr>
        <w:t> и </w:t>
      </w:r>
      <w:hyperlink r:id="rId17" w:history="1">
        <w:r w:rsidRPr="00F317BB">
          <w:rPr>
            <w:rFonts w:ascii="Times New Roman" w:eastAsia="Times New Roman" w:hAnsi="Times New Roman" w:cs="Times New Roman"/>
            <w:color w:val="0072E4"/>
            <w:sz w:val="24"/>
            <w:szCs w:val="24"/>
            <w:lang w:eastAsia="ru-RU"/>
          </w:rPr>
          <w:t>«б» пункта 2</w:t>
        </w:r>
      </w:hyperlink>
      <w:r w:rsidRPr="00F317BB">
        <w:rPr>
          <w:rFonts w:ascii="Times New Roman" w:eastAsia="Times New Roman" w:hAnsi="Times New Roman" w:cs="Times New Roman"/>
          <w:color w:val="1A1A1A"/>
          <w:sz w:val="24"/>
          <w:szCs w:val="24"/>
          <w:lang w:eastAsia="ru-RU"/>
        </w:rPr>
        <w:t> настоящего раздела, органами государственного контроля после </w:t>
      </w:r>
      <w:hyperlink r:id="rId18" w:history="1">
        <w:r w:rsidRPr="00F317BB">
          <w:rPr>
            <w:rFonts w:ascii="Times New Roman" w:eastAsia="Times New Roman" w:hAnsi="Times New Roman" w:cs="Times New Roman"/>
            <w:color w:val="0072E4"/>
            <w:sz w:val="24"/>
            <w:szCs w:val="24"/>
            <w:lang w:eastAsia="ru-RU"/>
          </w:rPr>
          <w:t>согласования</w:t>
        </w:r>
      </w:hyperlink>
      <w:r w:rsidRPr="00F317BB">
        <w:rPr>
          <w:rFonts w:ascii="Times New Roman" w:eastAsia="Times New Roman" w:hAnsi="Times New Roman" w:cs="Times New Roman"/>
          <w:color w:val="1A1A1A"/>
          <w:sz w:val="24"/>
          <w:szCs w:val="24"/>
          <w:lang w:eastAsia="ru-RU"/>
        </w:rPr>
        <w:t> с органом прокуратуры по месту осуществления деятельности таких юридических лиц, индивидуальных предпринимателей.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Разработка и издание решений о проведении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Проверки проводятся на основании приказа руководителя (заместителя руководителя) ФМБА России, распоряжения руководителя (заместителя руководителя) территориального органа ФМБА России.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приказе (распоряжении) о проведении проверки указываются: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наименование органа государственного контроля, а также вид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цели, задачи, предмет проверки и срок ее проведения;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5) правовые основания проведения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6) сроки проведения и перечень мероприятий по контролю, необходимых для достижения целей и задач проведения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7) перечень административных регламентов по осуществлению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9) даты начала и окончания проведения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B94060" w:rsidRDefault="00B94060"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B94060" w:rsidRDefault="00B94060"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lastRenderedPageBreak/>
        <w:t>Документарные и выездные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Ст. 11 и 12 Федерального закона от 26.12.2008 № 294-ФЗ определены предмет и порядок осуществления документарных и выездных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органов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Документарная проверка проводится по месту нахождения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зданий, строений, сооружений, помещений, оборудования, подобных объектов,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Сроки проведения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Ограничения сроков проведения проверок закреплены в ст. 13 Федерального закона от 26.12.2008 № 294-ФЗ.</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Срок проведения каждой из проверок (документарной или выездной) не может превышать 20 рабочих дней.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F317BB">
        <w:rPr>
          <w:rFonts w:ascii="Times New Roman" w:eastAsia="Times New Roman" w:hAnsi="Times New Roman" w:cs="Times New Roman"/>
          <w:color w:val="1A1A1A"/>
          <w:sz w:val="24"/>
          <w:szCs w:val="24"/>
          <w:lang w:eastAsia="ru-RU"/>
        </w:rPr>
        <w:t>микропредприятия</w:t>
      </w:r>
      <w:proofErr w:type="spellEnd"/>
      <w:r w:rsidRPr="00F317BB">
        <w:rPr>
          <w:rFonts w:ascii="Times New Roman" w:eastAsia="Times New Roman" w:hAnsi="Times New Roman" w:cs="Times New Roman"/>
          <w:color w:val="1A1A1A"/>
          <w:sz w:val="24"/>
          <w:szCs w:val="24"/>
          <w:lang w:eastAsia="ru-RU"/>
        </w:rPr>
        <w:t xml:space="preserve"> в год.</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Нарушение сроков проведения проверок относится к категории грубых нарушений требований Федерального закона от 26.12.2008 № 294-ФЗ, влекущих за собой отмену результатов проверки по заявлению юридического лица или индивидуального предпринимателя.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Соблюдение прав юридических лиц и индивидуальных</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предпринимателей при проведении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Принципы защиты прав юридических лиц и индивидуальных предпринимателей при проведении государственного контроля (надзора) определены ст. 3 Федерального закона от 26.12.2008 № 294-ФЗ:</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презумпция добросовестности юридических лиц, индивидуальных предпринимателей;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2) открытость и доступность для юридических лиц, индивидуальных предпринимателей нормативных правовых актов Российской Федерации, соблюдение которых проверяется </w:t>
      </w:r>
      <w:r w:rsidRPr="00F317BB">
        <w:rPr>
          <w:rFonts w:ascii="Times New Roman" w:eastAsia="Times New Roman" w:hAnsi="Times New Roman" w:cs="Times New Roman"/>
          <w:color w:val="1A1A1A"/>
          <w:sz w:val="24"/>
          <w:szCs w:val="24"/>
          <w:lang w:eastAsia="ru-RU"/>
        </w:rPr>
        <w:lastRenderedPageBreak/>
        <w:t>при осуществлении государственного контроля, а также информации об организации и осуществлении государственного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проведение проверок в соответствии с полномочиями органа государственного контроля, их должностных лиц;</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проверок исполнения одних и тех же обязательных требований;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5)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для начала осуществления предпринимательской деятельности, за исключением случаев, предусмотренных федеральными законами;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6) </w:t>
      </w:r>
      <w:hyperlink r:id="rId19" w:history="1">
        <w:r w:rsidRPr="00F317BB">
          <w:rPr>
            <w:rFonts w:ascii="Times New Roman" w:eastAsia="Times New Roman" w:hAnsi="Times New Roman" w:cs="Times New Roman"/>
            <w:color w:val="0072E4"/>
            <w:sz w:val="24"/>
            <w:szCs w:val="24"/>
            <w:lang w:eastAsia="ru-RU"/>
          </w:rPr>
          <w:t>ответственность</w:t>
        </w:r>
      </w:hyperlink>
      <w:r w:rsidRPr="00F317BB">
        <w:rPr>
          <w:rFonts w:ascii="Times New Roman" w:eastAsia="Times New Roman" w:hAnsi="Times New Roman" w:cs="Times New Roman"/>
          <w:color w:val="1A1A1A"/>
          <w:sz w:val="24"/>
          <w:szCs w:val="24"/>
          <w:lang w:eastAsia="ru-RU"/>
        </w:rPr>
        <w:t> органов государственного контроля, их должностных лиц за нарушение законодательства Российской Федерации при осуществлении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7) недопустимость взимания органами государственного контроля с юридических лиц, индивидуальных предпринимателей платы за проведение мероприятий по контролю;</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8) финансирование за счет средств </w:t>
      </w:r>
      <w:proofErr w:type="gramStart"/>
      <w:r w:rsidRPr="00F317BB">
        <w:rPr>
          <w:rFonts w:ascii="Times New Roman" w:eastAsia="Times New Roman" w:hAnsi="Times New Roman" w:cs="Times New Roman"/>
          <w:color w:val="1A1A1A"/>
          <w:sz w:val="24"/>
          <w:szCs w:val="24"/>
          <w:lang w:eastAsia="ru-RU"/>
        </w:rPr>
        <w:t>соответствующих бюджетов</w:t>
      </w:r>
      <w:proofErr w:type="gramEnd"/>
      <w:r w:rsidRPr="00F317BB">
        <w:rPr>
          <w:rFonts w:ascii="Times New Roman" w:eastAsia="Times New Roman" w:hAnsi="Times New Roman" w:cs="Times New Roman"/>
          <w:color w:val="1A1A1A"/>
          <w:sz w:val="24"/>
          <w:szCs w:val="24"/>
          <w:lang w:eastAsia="ru-RU"/>
        </w:rPr>
        <w:t xml:space="preserve"> проводимых органами государственного контроля проверок, в том числе мероприятий по контролю;</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9)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на основании федеральных законов.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К полномочиям ФМБА России в области защиты прав юридических лиц и индивидуальных предпринимателей при проведении государственного контроля, в том числе относятся: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организация и осуществление федерального государственного контроля в соответствующих сферах деятельности;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разработка административных регламентов осуществления федерального государственного контроля в соответствующих сферах деятельности;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организация и проведение мониторинга эффективности федерального государственного контроля в соответствующих сферах деятельности;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5) осуществление других предусмотренных законодательством Российской Федерации полномочий.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lastRenderedPageBreak/>
        <w:t>2) получать от органа государственного контроля, его должностных лиц информацию, которая относится к предмету проверки и предоставление которой предусмотрено настоящим Федеральным законом;</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обжаловать действия (бездействие) должностных лиц органа государственного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Важным средством защиты </w:t>
      </w:r>
      <w:proofErr w:type="gramStart"/>
      <w:r w:rsidRPr="00F317BB">
        <w:rPr>
          <w:rFonts w:ascii="Times New Roman" w:eastAsia="Times New Roman" w:hAnsi="Times New Roman" w:cs="Times New Roman"/>
          <w:color w:val="1A1A1A"/>
          <w:sz w:val="24"/>
          <w:szCs w:val="24"/>
          <w:lang w:eastAsia="ru-RU"/>
        </w:rPr>
        <w:t>прав</w:t>
      </w:r>
      <w:proofErr w:type="gramEnd"/>
      <w:r w:rsidRPr="00F317BB">
        <w:rPr>
          <w:rFonts w:ascii="Times New Roman" w:eastAsia="Times New Roman" w:hAnsi="Times New Roman" w:cs="Times New Roman"/>
          <w:color w:val="1A1A1A"/>
          <w:sz w:val="24"/>
          <w:szCs w:val="24"/>
          <w:lang w:eastAsia="ru-RU"/>
        </w:rPr>
        <w:t xml:space="preserve"> проверяемых является предусмотренное право на возмещение вреда, возникающего вследствие действий (бездействий) должностных лиц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Вред подлежит возмещению, если он причинен в результате неправомерных действий (бездействий), признанных таковыми в порядке, предусмотренном законодательством Российской Федерации.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Возмещение вреда осуществляется в соответствии с гражданским законодательством.</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Оформление результатов проверки, принятие мер по ее результатам</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По результатам проверки должностным лицом ФМБА России (территориального органа ФМБА России), проводившим проверку, составляется акт по установленной форме (в двух экземплярах).</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Типовая форма акта проверки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от 30.04.2009 № 141).</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акте проверки указываются: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дата, время и место составления акта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наименование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3) дата и номер распоряжения или приказа руководителя, заместителя руководителя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4) фамилии, имена, отчества и должности должностного лица или должностных лиц, проводивших проверку;</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6) дата, время, продолжительность и место проведения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lastRenderedPageBreak/>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9) подписи должностного лица или должностных лиц, проводивших проверку.</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К акту проверки прилагаются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Нарушение требований к представлению акта проверки относится к категории грубых нарушений требований к организации и проведению проверок (ст. 20 Федерального закона от 26.12.2008 № 294-ФЗ), влекущих за собой отмену результатов проверки по заявлению проверяемого лица.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Согласно </w:t>
      </w:r>
      <w:proofErr w:type="gramStart"/>
      <w:r w:rsidRPr="00F317BB">
        <w:rPr>
          <w:rFonts w:ascii="Times New Roman" w:eastAsia="Times New Roman" w:hAnsi="Times New Roman" w:cs="Times New Roman"/>
          <w:color w:val="1A1A1A"/>
          <w:sz w:val="24"/>
          <w:szCs w:val="24"/>
          <w:lang w:eastAsia="ru-RU"/>
        </w:rPr>
        <w:t>требованиям</w:t>
      </w:r>
      <w:proofErr w:type="gramEnd"/>
      <w:r w:rsidRPr="00F317BB">
        <w:rPr>
          <w:rFonts w:ascii="Times New Roman" w:eastAsia="Times New Roman" w:hAnsi="Times New Roman" w:cs="Times New Roman"/>
          <w:color w:val="1A1A1A"/>
          <w:sz w:val="24"/>
          <w:szCs w:val="24"/>
          <w:lang w:eastAsia="ru-RU"/>
        </w:rPr>
        <w:t xml:space="preserve"> ч. 8 ст. 16 Федерального закона от 26.12.2008 № 294-ФЗ юридические лица, индивидуальные предприниматели вправе вести журнал учета проверок.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В журнале учета проверок должностными лицами органа государственного контроля осуществляется запись о проведенной проверке, содержащая сведения о наименовании </w:t>
      </w:r>
      <w:r w:rsidRPr="00F317BB">
        <w:rPr>
          <w:rFonts w:ascii="Times New Roman" w:eastAsia="Times New Roman" w:hAnsi="Times New Roman" w:cs="Times New Roman"/>
          <w:color w:val="1A1A1A"/>
          <w:sz w:val="24"/>
          <w:szCs w:val="24"/>
          <w:lang w:eastAsia="ru-RU"/>
        </w:rPr>
        <w:lastRenderedPageBreak/>
        <w:t>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Журнал учета проверок должен быть прошит, пронумерован и удостоверен печатью юридического лица, индивидуального предпринимателя.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Типовая форма журнала учета проверок утверждена приказом Минэкономразвития России от 30.04.2009 № 141.</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 отсутствии журнала учета проверок в акте проверки делается соответствующая запись.</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государственного контроля, проводившие проверку, в пределах полномочий, предусмотренных законодательством Российской Федерации, обязаны:</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а также других мероприятий, предусмотренных федеральными законами;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а также меры по привлечению лиц, допустивших выявленные нарушения, к ответственности.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или такой вред причинен, орган государственного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0" w:history="1">
        <w:r w:rsidRPr="00F317BB">
          <w:rPr>
            <w:rFonts w:ascii="Times New Roman" w:eastAsia="Times New Roman" w:hAnsi="Times New Roman" w:cs="Times New Roman"/>
            <w:color w:val="0072E4"/>
            <w:sz w:val="24"/>
            <w:szCs w:val="24"/>
            <w:lang w:eastAsia="ru-RU"/>
          </w:rPr>
          <w:t>Кодексом</w:t>
        </w:r>
      </w:hyperlink>
      <w:r w:rsidRPr="00F317BB">
        <w:rPr>
          <w:rFonts w:ascii="Times New Roman" w:eastAsia="Times New Roman" w:hAnsi="Times New Roman" w:cs="Times New Roman"/>
          <w:color w:val="1A1A1A"/>
          <w:sz w:val="24"/>
          <w:szCs w:val="24"/>
          <w:lang w:eastAsia="ru-RU"/>
        </w:rPr>
        <w:t> Российской Федерации об административных правонарушениях, отзыва продукции, представляющей опасность для жизни, здоровья граждан,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Работа с заявлениями и обращениями граждан, содержащих сведения о нарушении обязательных требований, причинении вреда жизни, здоровью граждан.</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Работа с заявлениями и обращениями граждан ведется в соответствии с Федеральным законом от 02.05.2006 № 59-ФЗ «О порядке рассмотрения обращений граждан Российской Федерации», Федеральным законом от 26.12.2008 № 294-ФЗ.</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В соответствии со ст. 8.2. Федерального закона от 26.12.2008 № 294-ФЗ при наличии у органа государственного контроля сведений о готовящихся нарушениях или о признаках нарушений обязательных требований, содержащихся в поступивших обращениях и </w:t>
      </w:r>
      <w:r w:rsidRPr="00F317BB">
        <w:rPr>
          <w:rFonts w:ascii="Times New Roman" w:eastAsia="Times New Roman" w:hAnsi="Times New Roman" w:cs="Times New Roman"/>
          <w:color w:val="1A1A1A"/>
          <w:sz w:val="24"/>
          <w:szCs w:val="24"/>
          <w:lang w:eastAsia="ru-RU"/>
        </w:rPr>
        <w:lastRenderedPageBreak/>
        <w:t>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контроля.</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hyperlink r:id="rId21" w:history="1">
        <w:r w:rsidRPr="00F317BB">
          <w:rPr>
            <w:rFonts w:ascii="Times New Roman" w:eastAsia="Times New Roman" w:hAnsi="Times New Roman" w:cs="Times New Roman"/>
            <w:color w:val="0072E4"/>
            <w:sz w:val="24"/>
            <w:szCs w:val="24"/>
            <w:lang w:eastAsia="ru-RU"/>
          </w:rPr>
          <w:t>Порядок</w:t>
        </w:r>
      </w:hyperlink>
      <w:r w:rsidRPr="00F317BB">
        <w:rPr>
          <w:rFonts w:ascii="Times New Roman" w:eastAsia="Times New Roman" w:hAnsi="Times New Roman" w:cs="Times New Roman"/>
          <w:color w:val="1A1A1A"/>
          <w:sz w:val="24"/>
          <w:szCs w:val="24"/>
          <w:lang w:eastAsia="ru-RU"/>
        </w:rPr>
        <w:t>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определен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10.02.2017 № 166.</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 соответствии со ст. 10 Федерального закона от 26.12.2008 № 294-ФЗ основанием для проведения внеплановой проверки является мотивированное представление должностного лица органа государственного контроля по результатам рассмотрения или предварительной проверки поступивших в органы государственного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а) возникновение угрозы причинения вреда жизни, здоровью граждан;</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б) причинение вреда жизни, здоровью граждан.</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Административная ответственность за нарушение законодательства о донорстве крови 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Административная ответственность за нарушение законодательства о донорстве крови и ее компонентов предусмотрена ст. 6.31 КоАП РФ:</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1. Несоблюдение субъектами обращения донорской крови и (или) ее компонентов, осуществляющими их заготовку, хранение, транспортировку и клиническое использование, требований безопасности </w:t>
      </w:r>
      <w:hyperlink r:id="rId22" w:history="1">
        <w:r w:rsidRPr="00F317BB">
          <w:rPr>
            <w:rFonts w:ascii="Times New Roman" w:eastAsia="Times New Roman" w:hAnsi="Times New Roman" w:cs="Times New Roman"/>
            <w:color w:val="0072E4"/>
            <w:sz w:val="24"/>
            <w:szCs w:val="24"/>
            <w:lang w:eastAsia="ru-RU"/>
          </w:rPr>
          <w:t>технического регламента</w:t>
        </w:r>
      </w:hyperlink>
      <w:r w:rsidRPr="00F317BB">
        <w:rPr>
          <w:rFonts w:ascii="Times New Roman" w:eastAsia="Times New Roman" w:hAnsi="Times New Roman" w:cs="Times New Roman"/>
          <w:color w:val="1A1A1A"/>
          <w:sz w:val="24"/>
          <w:szCs w:val="24"/>
          <w:lang w:eastAsia="ru-RU"/>
        </w:rPr>
        <w:t> о требованиях безопасности крови, ее продуктов, кровезамещающих растворов и технических средств, используемых в трансфузионно-инфузионной терапии,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2. Несообщение или сокрытие информации о реакциях и об осложнениях, возникших у реципиентов в связи с трансфузией (переливанием) донорской крови и (или) ее </w:t>
      </w:r>
      <w:r w:rsidRPr="00F317BB">
        <w:rPr>
          <w:rFonts w:ascii="Times New Roman" w:eastAsia="Times New Roman" w:hAnsi="Times New Roman" w:cs="Times New Roman"/>
          <w:color w:val="1A1A1A"/>
          <w:sz w:val="24"/>
          <w:szCs w:val="24"/>
          <w:lang w:eastAsia="ru-RU"/>
        </w:rPr>
        <w:lastRenderedPageBreak/>
        <w:t>компонентов, субъектами обращения донорской крови и (или) ее компонентов, осуществляющими их клиническое использование,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Государственный контроль за обеспечением безопасности</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донорской крови и ее компонентов в 2017 году</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 формировании проекта плана на 2017год ФМБА России руководствовалось требованиями ст. 26.1 Федерального закона от 26.12.2008 № 294-ФЗ, касающимися особенностей организации и проведения в 2016-2018 годах плановых проверок при осуществлении государственного контроля в отношении субъектов малого предпринимательства.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color w:val="1A1A1A"/>
          <w:sz w:val="24"/>
          <w:szCs w:val="24"/>
          <w:lang w:eastAsia="ru-RU"/>
        </w:rPr>
        <w:t xml:space="preserve">План проведения плановых проверок на 2017год размещен на официальных сайтах МРУ №118 ФМБА России, ФМБА России и Генеральной прокуратуры </w:t>
      </w:r>
      <w:r w:rsidRPr="00F317BB">
        <w:rPr>
          <w:rFonts w:ascii="Times New Roman" w:eastAsia="Times New Roman" w:hAnsi="Times New Roman" w:cs="Times New Roman"/>
          <w:sz w:val="24"/>
          <w:szCs w:val="24"/>
          <w:lang w:eastAsia="ru-RU"/>
        </w:rPr>
        <w:t>Российской Федерации.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В 2017 г. доля внеплановых проверок от общего числа проверок составила 60% (в 2016 г. - 58,8%).</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Основаниями для проведения внеплановых проверок в рамках реализации Федерального закона № 294-ФЗ в 2017г., стали:</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FF0000"/>
          <w:sz w:val="24"/>
          <w:szCs w:val="24"/>
          <w:lang w:eastAsia="ru-RU"/>
        </w:rPr>
      </w:pPr>
      <w:r w:rsidRPr="00F317BB">
        <w:rPr>
          <w:rFonts w:ascii="Times New Roman" w:eastAsia="Times New Roman" w:hAnsi="Times New Roman" w:cs="Times New Roman"/>
          <w:color w:val="1A1A1A"/>
          <w:sz w:val="24"/>
          <w:szCs w:val="24"/>
          <w:lang w:eastAsia="ru-RU"/>
        </w:rPr>
        <w:t xml:space="preserve">- контроль исполнения предписаний об устранении выявленных нарушений – </w:t>
      </w:r>
      <w:r w:rsidRPr="00F317BB">
        <w:rPr>
          <w:rFonts w:ascii="Times New Roman" w:eastAsia="Times New Roman" w:hAnsi="Times New Roman" w:cs="Times New Roman"/>
          <w:color w:val="000000" w:themeColor="text1"/>
          <w:sz w:val="24"/>
          <w:szCs w:val="24"/>
          <w:lang w:eastAsia="ru-RU"/>
        </w:rPr>
        <w:t>83,3% (в 2016 г. - 100%);</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000000" w:themeColor="text1"/>
          <w:sz w:val="24"/>
          <w:szCs w:val="24"/>
          <w:lang w:eastAsia="ru-RU"/>
        </w:rPr>
      </w:pPr>
      <w:r w:rsidRPr="00F317BB">
        <w:rPr>
          <w:rFonts w:ascii="Times New Roman" w:eastAsia="Times New Roman" w:hAnsi="Times New Roman" w:cs="Times New Roman"/>
          <w:color w:val="000000" w:themeColor="text1"/>
          <w:sz w:val="24"/>
          <w:szCs w:val="24"/>
          <w:lang w:eastAsia="ru-RU"/>
        </w:rPr>
        <w:t>- жалобы граждан - (в 2015 г-.2017г – не зарегистрировано);</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000000" w:themeColor="text1"/>
          <w:sz w:val="24"/>
          <w:szCs w:val="24"/>
          <w:lang w:eastAsia="ru-RU"/>
        </w:rPr>
      </w:pPr>
      <w:r w:rsidRPr="00F317BB">
        <w:rPr>
          <w:rFonts w:ascii="Times New Roman" w:eastAsia="Times New Roman" w:hAnsi="Times New Roman" w:cs="Times New Roman"/>
          <w:color w:val="1A1A1A"/>
          <w:sz w:val="24"/>
          <w:szCs w:val="24"/>
          <w:lang w:eastAsia="ru-RU"/>
        </w:rPr>
        <w:t>- </w:t>
      </w:r>
      <w:r w:rsidRPr="00F317BB">
        <w:rPr>
          <w:rFonts w:ascii="Times New Roman" w:eastAsia="Times New Roman" w:hAnsi="Times New Roman" w:cs="Times New Roman"/>
          <w:color w:val="000000" w:themeColor="text1"/>
          <w:sz w:val="24"/>
          <w:szCs w:val="24"/>
          <w:lang w:eastAsia="ru-RU"/>
        </w:rPr>
        <w:t>информация о возникновении угрозы причинения вреда/причинении вреда жизни, здоровью граждан – 2 случая (в 2015 г. - 1 случай).</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xml:space="preserve">По результатам государственного контроля за обеспечением безопасности донорской крови и ее компонентов в 2017 году должностными </w:t>
      </w:r>
      <w:proofErr w:type="gramStart"/>
      <w:r w:rsidRPr="00F317BB">
        <w:rPr>
          <w:rFonts w:ascii="Times New Roman" w:eastAsia="Times New Roman" w:hAnsi="Times New Roman" w:cs="Times New Roman"/>
          <w:color w:val="1A1A1A"/>
          <w:sz w:val="24"/>
          <w:szCs w:val="24"/>
          <w:lang w:eastAsia="ru-RU"/>
        </w:rPr>
        <w:t>лицами  МРУ</w:t>
      </w:r>
      <w:proofErr w:type="gramEnd"/>
      <w:r w:rsidRPr="00F317BB">
        <w:rPr>
          <w:rFonts w:ascii="Times New Roman" w:eastAsia="Times New Roman" w:hAnsi="Times New Roman" w:cs="Times New Roman"/>
          <w:color w:val="1A1A1A"/>
          <w:sz w:val="24"/>
          <w:szCs w:val="24"/>
          <w:lang w:eastAsia="ru-RU"/>
        </w:rPr>
        <w:t xml:space="preserve"> №118ФМБА России составлено </w:t>
      </w:r>
      <w:r w:rsidRPr="00F317BB">
        <w:rPr>
          <w:rFonts w:ascii="Times New Roman" w:eastAsia="Times New Roman" w:hAnsi="Times New Roman" w:cs="Times New Roman"/>
          <w:sz w:val="24"/>
          <w:szCs w:val="24"/>
          <w:lang w:eastAsia="ru-RU"/>
        </w:rPr>
        <w:t xml:space="preserve">13 протоколов </w:t>
      </w:r>
      <w:r w:rsidRPr="00F317BB">
        <w:rPr>
          <w:rFonts w:ascii="Times New Roman" w:eastAsia="Times New Roman" w:hAnsi="Times New Roman" w:cs="Times New Roman"/>
          <w:color w:val="1A1A1A"/>
          <w:sz w:val="24"/>
          <w:szCs w:val="24"/>
          <w:lang w:eastAsia="ru-RU"/>
        </w:rPr>
        <w:t>об административных правонарушениях.</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Вынесено 8 постановлений о наложении административного наказания в виде предупреждения, 5 – о назначении административного штрафа.</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Из общего количества постановлений в 2017г вынесено 1 на должностное лицо, 4 – на юридическое лицо. В 2016 году все 4 </w:t>
      </w:r>
      <w:proofErr w:type="gramStart"/>
      <w:r w:rsidRPr="00F317BB">
        <w:rPr>
          <w:rFonts w:ascii="Times New Roman" w:eastAsia="Times New Roman" w:hAnsi="Times New Roman" w:cs="Times New Roman"/>
          <w:sz w:val="24"/>
          <w:szCs w:val="24"/>
          <w:lang w:eastAsia="ru-RU"/>
        </w:rPr>
        <w:t>постановления  были</w:t>
      </w:r>
      <w:proofErr w:type="gramEnd"/>
      <w:r w:rsidRPr="00F317BB">
        <w:rPr>
          <w:rFonts w:ascii="Times New Roman" w:eastAsia="Times New Roman" w:hAnsi="Times New Roman" w:cs="Times New Roman"/>
          <w:sz w:val="24"/>
          <w:szCs w:val="24"/>
          <w:lang w:eastAsia="ru-RU"/>
        </w:rPr>
        <w:t xml:space="preserve"> вынесены на юридических лиц.</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Общая сумма наложенных штрафов в 2016 году 40 тыс. руб., средняя сумма штрафа составила 10 тыс. </w:t>
      </w:r>
      <w:proofErr w:type="spellStart"/>
      <w:r w:rsidRPr="00F317BB">
        <w:rPr>
          <w:rFonts w:ascii="Times New Roman" w:eastAsia="Times New Roman" w:hAnsi="Times New Roman" w:cs="Times New Roman"/>
          <w:sz w:val="24"/>
          <w:szCs w:val="24"/>
          <w:lang w:eastAsia="ru-RU"/>
        </w:rPr>
        <w:t>руб</w:t>
      </w:r>
      <w:proofErr w:type="spellEnd"/>
      <w:r w:rsidRPr="00F317BB">
        <w:rPr>
          <w:rFonts w:ascii="Times New Roman" w:eastAsia="Times New Roman" w:hAnsi="Times New Roman" w:cs="Times New Roman"/>
          <w:sz w:val="24"/>
          <w:szCs w:val="24"/>
          <w:lang w:eastAsia="ru-RU"/>
        </w:rPr>
        <w:t xml:space="preserve">, в 2017 году сумма наложенных штрафов составила 82 тыс. руб. средняя сумма штрафа составила 16400 руб.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III. Правоприменительная практика соблюдения</w:t>
      </w:r>
    </w:p>
    <w:p w:rsidR="00F317BB" w:rsidRPr="00F317BB" w:rsidRDefault="00F317BB" w:rsidP="00B94060">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обязательных требований законодательства о донорстве крови и ее компонентов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 </w:t>
      </w:r>
      <w:bookmarkStart w:id="0" w:name="_GoBack"/>
      <w:bookmarkEnd w:id="0"/>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В 2017 г. отмечается уменьшение количества выявленных правонарушений на одно юридическое лицо до 3,2 нарушений (3,6 в 2016 г.).</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sz w:val="24"/>
          <w:szCs w:val="24"/>
          <w:lang w:eastAsia="ru-RU"/>
        </w:rPr>
        <w:lastRenderedPageBreak/>
        <w:t xml:space="preserve">Вместе с тем, количество правонарушений по невыполнению предписаний органа государственного контроля в 2017 году снизилось. </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При анализе выявленных нарушений обязательных требований законодательства о донорстве крови и ее компонентов, допущенных субъектами обращения донорской крови и ее компонентов в 2017 г., установлено следующее.</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В структуре нарушений обязательных требований преобладало несоблюдение </w:t>
      </w:r>
      <w:proofErr w:type="gramStart"/>
      <w:r w:rsidRPr="00F317BB">
        <w:rPr>
          <w:rFonts w:ascii="Times New Roman" w:eastAsia="Times New Roman" w:hAnsi="Times New Roman" w:cs="Times New Roman"/>
          <w:sz w:val="24"/>
          <w:szCs w:val="24"/>
          <w:lang w:eastAsia="ru-RU"/>
        </w:rPr>
        <w:t>требований</w:t>
      </w:r>
      <w:proofErr w:type="gramEnd"/>
      <w:r w:rsidRPr="00F317BB">
        <w:rPr>
          <w:rFonts w:ascii="Times New Roman" w:eastAsia="Times New Roman" w:hAnsi="Times New Roman" w:cs="Times New Roman"/>
          <w:sz w:val="24"/>
          <w:szCs w:val="24"/>
          <w:lang w:eastAsia="ru-RU"/>
        </w:rPr>
        <w:t xml:space="preserve"> следующих нормативных правовых актов:</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 - технического регламента о требованиях безопасности крови, ее продуктов, кровезамещающих растворов и технических средств, используемых в трансфузионно-инфузионной терапии, утвержденного постановлением Правительства Российской Федерации от 26.01.2010 № 29 (далее – технический регламент) (65,9%);</w:t>
      </w:r>
    </w:p>
    <w:p w:rsidR="00F317BB" w:rsidRPr="00F317BB" w:rsidRDefault="00F317BB" w:rsidP="00F317BB">
      <w:pPr>
        <w:shd w:val="clear" w:color="auto" w:fill="FFFFFF"/>
        <w:spacing w:after="15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приказа Министерства здравоохранения Российской Федерации от 02.04.2013 № 183н «Об утверждении правил клинического использования донорской крови и (или) ее компонентов» (далее – приказ Минздрава России от 02.04.2013 № 183н) (21,3%);</w:t>
      </w:r>
    </w:p>
    <w:p w:rsidR="00F317BB" w:rsidRPr="00F317BB" w:rsidRDefault="00F317BB" w:rsidP="00F317BB">
      <w:pPr>
        <w:jc w:val="both"/>
        <w:rPr>
          <w:rFonts w:ascii="Times New Roman" w:hAnsi="Times New Roman" w:cs="Times New Roman"/>
          <w:sz w:val="28"/>
          <w:szCs w:val="28"/>
        </w:rPr>
      </w:pPr>
      <w:r w:rsidRPr="00F317BB">
        <w:rPr>
          <w:rFonts w:ascii="Times New Roman" w:eastAsia="Times New Roman" w:hAnsi="Times New Roman" w:cs="Times New Roman"/>
          <w:sz w:val="24"/>
          <w:szCs w:val="24"/>
          <w:lang w:eastAsia="ru-RU"/>
        </w:rPr>
        <w:t>При осуществлении государственного контроля за обеспечением безопасности донорской крови и ее компонентов выявлены следующие типичные нарушения обязательных требований:</w:t>
      </w:r>
      <w:r w:rsidRPr="00F317BB">
        <w:rPr>
          <w:rFonts w:ascii="Times New Roman" w:hAnsi="Times New Roman" w:cs="Times New Roman"/>
          <w:sz w:val="28"/>
          <w:szCs w:val="28"/>
        </w:rPr>
        <w:t xml:space="preserve"> </w:t>
      </w:r>
      <w:r w:rsidRPr="00F317BB">
        <w:rPr>
          <w:rFonts w:ascii="Times New Roman" w:hAnsi="Times New Roman" w:cs="Times New Roman"/>
          <w:sz w:val="28"/>
          <w:szCs w:val="28"/>
        </w:rPr>
        <w:tab/>
      </w:r>
    </w:p>
    <w:p w:rsidR="00F317BB" w:rsidRPr="00F317BB" w:rsidRDefault="00F317BB" w:rsidP="00F317BB">
      <w:pPr>
        <w:keepNext/>
        <w:keepLines/>
        <w:numPr>
          <w:ilvl w:val="0"/>
          <w:numId w:val="1"/>
        </w:numPr>
        <w:spacing w:after="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pacing w:val="-2"/>
          <w:sz w:val="24"/>
          <w:szCs w:val="24"/>
          <w:lang w:eastAsia="ru-RU"/>
        </w:rPr>
        <w:t>требований</w:t>
      </w:r>
      <w:r w:rsidRPr="00F317BB">
        <w:rPr>
          <w:rFonts w:ascii="Times New Roman" w:eastAsia="Times New Roman" w:hAnsi="Times New Roman" w:cs="Times New Roman"/>
          <w:i/>
          <w:spacing w:val="-2"/>
          <w:sz w:val="24"/>
          <w:szCs w:val="24"/>
          <w:lang w:eastAsia="ru-RU"/>
        </w:rPr>
        <w:t xml:space="preserve"> </w:t>
      </w:r>
      <w:r w:rsidRPr="00F317BB">
        <w:rPr>
          <w:rFonts w:ascii="Times New Roman" w:eastAsia="Times New Roman" w:hAnsi="Times New Roman" w:cs="Times New Roman"/>
          <w:spacing w:val="-2"/>
          <w:sz w:val="24"/>
          <w:szCs w:val="24"/>
          <w:lang w:eastAsia="ru-RU"/>
        </w:rPr>
        <w:t xml:space="preserve">п. 54 </w:t>
      </w:r>
      <w:r w:rsidRPr="00F317BB">
        <w:rPr>
          <w:rFonts w:ascii="Times New Roman" w:eastAsia="Times New Roman" w:hAnsi="Times New Roman" w:cs="Times New Roman"/>
          <w:sz w:val="24"/>
          <w:szCs w:val="24"/>
          <w:lang w:eastAsia="ru-RU"/>
        </w:rPr>
        <w:t xml:space="preserve">главы </w:t>
      </w:r>
      <w:r w:rsidRPr="00F317BB">
        <w:rPr>
          <w:rFonts w:ascii="Times New Roman" w:eastAsia="Times New Roman" w:hAnsi="Times New Roman" w:cs="Times New Roman"/>
          <w:sz w:val="24"/>
          <w:szCs w:val="24"/>
          <w:lang w:val="en-US" w:eastAsia="ru-RU"/>
        </w:rPr>
        <w:t>III</w:t>
      </w:r>
      <w:r w:rsidRPr="00F317BB">
        <w:rPr>
          <w:rFonts w:ascii="Times New Roman" w:eastAsia="Times New Roman" w:hAnsi="Times New Roman" w:cs="Times New Roman"/>
          <w:sz w:val="24"/>
          <w:szCs w:val="24"/>
          <w:lang w:eastAsia="ru-RU"/>
        </w:rPr>
        <w:t xml:space="preserve"> </w:t>
      </w:r>
      <w:r w:rsidRPr="00F317BB">
        <w:rPr>
          <w:rFonts w:ascii="Times New Roman" w:eastAsia="Times New Roman" w:hAnsi="Times New Roman" w:cs="Times New Roman"/>
          <w:spacing w:val="-2"/>
          <w:sz w:val="24"/>
          <w:szCs w:val="24"/>
          <w:lang w:eastAsia="ru-RU"/>
        </w:rPr>
        <w:t>и п. 27</w:t>
      </w:r>
      <w:r w:rsidRPr="00F317BB">
        <w:rPr>
          <w:rFonts w:ascii="Times New Roman" w:eastAsia="Times New Roman" w:hAnsi="Times New Roman" w:cs="Times New Roman"/>
          <w:i/>
          <w:spacing w:val="-2"/>
          <w:sz w:val="24"/>
          <w:szCs w:val="24"/>
          <w:lang w:eastAsia="ru-RU"/>
        </w:rPr>
        <w:t xml:space="preserve"> </w:t>
      </w:r>
      <w:r w:rsidRPr="00F317BB">
        <w:rPr>
          <w:rFonts w:ascii="Times New Roman" w:eastAsia="Times New Roman" w:hAnsi="Times New Roman" w:cs="Times New Roman"/>
          <w:sz w:val="24"/>
          <w:szCs w:val="24"/>
          <w:lang w:eastAsia="ru-RU"/>
        </w:rPr>
        <w:t xml:space="preserve">приложения № 3 технического </w:t>
      </w:r>
      <w:proofErr w:type="gramStart"/>
      <w:r w:rsidRPr="00F317BB">
        <w:rPr>
          <w:rFonts w:ascii="Times New Roman" w:eastAsia="Times New Roman" w:hAnsi="Times New Roman" w:cs="Times New Roman"/>
          <w:sz w:val="24"/>
          <w:szCs w:val="24"/>
          <w:lang w:eastAsia="ru-RU"/>
        </w:rPr>
        <w:t>регламента  о</w:t>
      </w:r>
      <w:proofErr w:type="gramEnd"/>
      <w:r w:rsidRPr="00F317BB">
        <w:rPr>
          <w:rFonts w:ascii="Times New Roman" w:eastAsia="Times New Roman" w:hAnsi="Times New Roman" w:cs="Times New Roman"/>
          <w:sz w:val="24"/>
          <w:szCs w:val="24"/>
          <w:lang w:eastAsia="ru-RU"/>
        </w:rPr>
        <w:t xml:space="preserve"> требованиях безопасности крови, ее продуктов, кровезамещающих растворов и технических средств, используемых в трансфузионно - инфузионной терапии, утвержденного постановлением Правительства Российской Федерации № 29 от 26.01.2010: - оборудование не имеет разрешения к использованию на территории Российской Федерации;</w:t>
      </w:r>
    </w:p>
    <w:p w:rsidR="00F317BB" w:rsidRPr="00F317BB" w:rsidRDefault="00F317BB" w:rsidP="00F317BB">
      <w:pPr>
        <w:keepNext/>
        <w:keepLines/>
        <w:numPr>
          <w:ilvl w:val="0"/>
          <w:numId w:val="1"/>
        </w:numPr>
        <w:spacing w:after="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требований главы </w:t>
      </w:r>
      <w:r w:rsidRPr="00F317BB">
        <w:rPr>
          <w:rFonts w:ascii="Times New Roman" w:eastAsia="Times New Roman" w:hAnsi="Times New Roman" w:cs="Times New Roman"/>
          <w:sz w:val="24"/>
          <w:szCs w:val="24"/>
          <w:lang w:val="en-US" w:eastAsia="ru-RU"/>
        </w:rPr>
        <w:t>VI</w:t>
      </w:r>
      <w:r w:rsidRPr="00F317BB">
        <w:rPr>
          <w:rFonts w:ascii="Times New Roman" w:eastAsia="Times New Roman" w:hAnsi="Times New Roman" w:cs="Times New Roman"/>
          <w:sz w:val="24"/>
          <w:szCs w:val="24"/>
          <w:lang w:eastAsia="ru-RU"/>
        </w:rPr>
        <w:t xml:space="preserve"> п. 25 и п. 23 приложения 3 технического регламента  о требованиях безопасности крови, ее продуктов, кровезамещающих растворов и технических средств, используемых в трансфузионно-инфузионной терапии, утвержденного постановлением Правительства РФ № 29 от 26.01.2010: -ведение учетно-регистрационной документации осуществляется  с отступлением от  установленных форм  вследствие чего данные о организации-производителе, выполнении работ, об исполнителях работ  указываются не в полном объеме;</w:t>
      </w:r>
    </w:p>
    <w:p w:rsidR="00F317BB" w:rsidRPr="00F317BB" w:rsidRDefault="00F317BB" w:rsidP="00F317BB">
      <w:pPr>
        <w:keepNext/>
        <w:keepLines/>
        <w:spacing w:after="0" w:line="240" w:lineRule="auto"/>
        <w:ind w:left="360"/>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в листах регистрации переливания гемотрансфузионных сред заполнены не все  </w:t>
      </w:r>
    </w:p>
    <w:p w:rsidR="00F317BB" w:rsidRPr="00F317BB" w:rsidRDefault="00F317BB" w:rsidP="00F317BB">
      <w:pPr>
        <w:keepNext/>
        <w:keepLines/>
        <w:spacing w:after="0" w:line="240" w:lineRule="auto"/>
        <w:ind w:left="360"/>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 графы, - в некоторых случаях невозможно установить исполнителей работ из-за               отсутствия подписей ответственных </w:t>
      </w:r>
      <w:proofErr w:type="gramStart"/>
      <w:r w:rsidRPr="00F317BB">
        <w:rPr>
          <w:rFonts w:ascii="Times New Roman" w:eastAsia="Times New Roman" w:hAnsi="Times New Roman" w:cs="Times New Roman"/>
          <w:sz w:val="24"/>
          <w:szCs w:val="24"/>
          <w:lang w:eastAsia="ru-RU"/>
        </w:rPr>
        <w:t>лиц;;</w:t>
      </w:r>
      <w:proofErr w:type="gramEnd"/>
      <w:r w:rsidRPr="00F317BB">
        <w:rPr>
          <w:rFonts w:ascii="Times New Roman" w:eastAsia="Times New Roman" w:hAnsi="Times New Roman" w:cs="Times New Roman"/>
          <w:sz w:val="24"/>
          <w:szCs w:val="24"/>
          <w:lang w:eastAsia="ru-RU"/>
        </w:rPr>
        <w:t xml:space="preserve"> </w:t>
      </w:r>
    </w:p>
    <w:p w:rsidR="00F317BB" w:rsidRPr="00F317BB" w:rsidRDefault="00F317BB" w:rsidP="00F317BB">
      <w:pPr>
        <w:numPr>
          <w:ilvl w:val="0"/>
          <w:numId w:val="1"/>
        </w:numPr>
        <w:autoSpaceDE w:val="0"/>
        <w:autoSpaceDN w:val="0"/>
        <w:adjustRightInd w:val="0"/>
        <w:spacing w:after="0" w:line="240" w:lineRule="auto"/>
        <w:ind w:right="-135"/>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 xml:space="preserve">требований </w:t>
      </w:r>
      <w:proofErr w:type="spellStart"/>
      <w:r w:rsidRPr="00F317BB">
        <w:rPr>
          <w:rFonts w:ascii="Times New Roman" w:eastAsia="Times New Roman" w:hAnsi="Times New Roman" w:cs="Times New Roman"/>
          <w:sz w:val="24"/>
          <w:szCs w:val="24"/>
          <w:lang w:eastAsia="ru-RU"/>
        </w:rPr>
        <w:t>п.п</w:t>
      </w:r>
      <w:proofErr w:type="spellEnd"/>
      <w:r w:rsidRPr="00F317BB">
        <w:rPr>
          <w:rFonts w:ascii="Times New Roman" w:eastAsia="Times New Roman" w:hAnsi="Times New Roman" w:cs="Times New Roman"/>
          <w:sz w:val="24"/>
          <w:szCs w:val="24"/>
          <w:lang w:eastAsia="ru-RU"/>
        </w:rPr>
        <w:t xml:space="preserve">. 27, 49 приложения № 3 технического регламента о требованиях безопасности крови, ее продуктов, кровезамещающих растворов и технических средств, используемых в трансфузионно-инфузионной терапии, утвержденного постановлением Правительства РФ № 29 от </w:t>
      </w:r>
      <w:proofErr w:type="gramStart"/>
      <w:r w:rsidRPr="00F317BB">
        <w:rPr>
          <w:rFonts w:ascii="Times New Roman" w:eastAsia="Times New Roman" w:hAnsi="Times New Roman" w:cs="Times New Roman"/>
          <w:sz w:val="24"/>
          <w:szCs w:val="24"/>
          <w:lang w:eastAsia="ru-RU"/>
        </w:rPr>
        <w:t>26.01.2010:-</w:t>
      </w:r>
      <w:proofErr w:type="gramEnd"/>
      <w:r w:rsidRPr="00F317BB">
        <w:rPr>
          <w:rFonts w:ascii="Times New Roman" w:eastAsia="Times New Roman" w:hAnsi="Times New Roman" w:cs="Times New Roman"/>
          <w:sz w:val="24"/>
          <w:szCs w:val="24"/>
          <w:lang w:eastAsia="ru-RU"/>
        </w:rPr>
        <w:t xml:space="preserve"> размораживание СЗП осуществляется на водяной бане; </w:t>
      </w:r>
    </w:p>
    <w:p w:rsidR="00F317BB" w:rsidRPr="00F317BB" w:rsidRDefault="00F317BB" w:rsidP="00F317BB">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17BB">
        <w:rPr>
          <w:rFonts w:ascii="Times New Roman" w:eastAsia="Times New Roman" w:hAnsi="Times New Roman" w:cs="Times New Roman"/>
          <w:sz w:val="24"/>
          <w:szCs w:val="24"/>
          <w:lang w:eastAsia="ru-RU"/>
        </w:rPr>
        <w:t>требований приказа МЗ РФ от 02.04.2013г. №183н «Об утверждении правил клинического использования донорской крови и (или) ее компонентов»: отсутствуют сведения о результатах контрольной проверки  группы донорской крови из контейнеров, отсутствуют сведения о результатах постановки проб на совместимость и биологической пробы;</w:t>
      </w:r>
      <w:r w:rsidRPr="00F317BB">
        <w:rPr>
          <w:rFonts w:ascii="Times New Roman" w:eastAsia="Times New Roman" w:hAnsi="Times New Roman" w:cs="Times New Roman"/>
          <w:color w:val="FF0000"/>
          <w:sz w:val="20"/>
          <w:szCs w:val="20"/>
          <w:lang w:eastAsia="ru-RU"/>
        </w:rPr>
        <w:t xml:space="preserve"> </w:t>
      </w:r>
      <w:r w:rsidRPr="00F317BB">
        <w:rPr>
          <w:rFonts w:ascii="Times New Roman" w:eastAsia="Times New Roman" w:hAnsi="Times New Roman" w:cs="Times New Roman"/>
          <w:sz w:val="24"/>
          <w:szCs w:val="24"/>
          <w:lang w:eastAsia="ru-RU"/>
        </w:rPr>
        <w:t>протоколы переливания компонентов крови оформляются  с отступлением от требований- не прохождение обучения по вопросам трансфузиологии врачами клинических подразделений, проводящими первичное исследование групповой и резус-принадлежности; нарушение правил проведения иммуногематологических исследований при трансфузии донорской крови и ее компонентов - не соблюдение требований к </w:t>
      </w:r>
      <w:proofErr w:type="spellStart"/>
      <w:r w:rsidRPr="00F317BB">
        <w:rPr>
          <w:rFonts w:ascii="Times New Roman" w:eastAsia="Times New Roman" w:hAnsi="Times New Roman" w:cs="Times New Roman"/>
          <w:sz w:val="24"/>
          <w:szCs w:val="24"/>
          <w:lang w:eastAsia="ru-RU"/>
        </w:rPr>
        <w:t>прослеживаемости</w:t>
      </w:r>
      <w:proofErr w:type="spellEnd"/>
      <w:r w:rsidRPr="00F317BB">
        <w:rPr>
          <w:rFonts w:ascii="Times New Roman" w:eastAsia="Times New Roman" w:hAnsi="Times New Roman" w:cs="Times New Roman"/>
          <w:sz w:val="24"/>
          <w:szCs w:val="24"/>
          <w:lang w:eastAsia="ru-RU"/>
        </w:rPr>
        <w:t xml:space="preserve"> крови, ее компонентов, </w:t>
      </w:r>
      <w:r w:rsidRPr="00F317BB">
        <w:rPr>
          <w:rFonts w:ascii="Times New Roman" w:eastAsia="Times New Roman" w:hAnsi="Times New Roman" w:cs="Times New Roman"/>
          <w:sz w:val="24"/>
          <w:szCs w:val="24"/>
          <w:lang w:eastAsia="ru-RU"/>
        </w:rPr>
        <w:lastRenderedPageBreak/>
        <w:t>расходных материалов, лабораторных образцов, регистрационных данных и исполнителей работ при заготовке донорской крови и ее компонентов;</w:t>
      </w:r>
    </w:p>
    <w:p w:rsidR="00F317BB" w:rsidRPr="00F317BB" w:rsidRDefault="00F317BB" w:rsidP="00F317BB">
      <w:pPr>
        <w:numPr>
          <w:ilvl w:val="0"/>
          <w:numId w:val="1"/>
        </w:numPr>
        <w:shd w:val="clear" w:color="auto" w:fill="FFFFFF"/>
        <w:spacing w:after="150" w:line="240" w:lineRule="auto"/>
        <w:contextualSpacing/>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К типичным нарушениям обязательных требований можно отнести несвоевременное сообщение информации о реакциях и об осложнениях в нарушение требований приказа Министерства здравоохранения Российской Федерации от 03.06.2013 № 348н «О порядке представления информации о реакциях и об осложнениях, возникших у реципиентов в связи с трансфузией (переливанием) донорской крови и (или) ее компонентов, в федеральный орган исполнительной власти, осуществляющий функции по организации деятельности службы крови».</w:t>
      </w:r>
    </w:p>
    <w:p w:rsidR="00F317BB" w:rsidRPr="00F317BB" w:rsidRDefault="00F317BB" w:rsidP="00F317BB">
      <w:pPr>
        <w:shd w:val="clear" w:color="auto" w:fill="FFFFFF"/>
        <w:spacing w:after="150" w:line="240" w:lineRule="auto"/>
        <w:ind w:firstLine="360"/>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Проведенный анализ показал, что выявленные в ходе проверок нарушения, допускались медицинскими организациями, зачастую в связи с незнанием законодательства в сфере донорства крови и ее компонентов, несвоевременным ознакомлением с изменениями законодательства, а также с несвоевременным прохождением обучения по вопросам трансфузиологии.</w:t>
      </w:r>
    </w:p>
    <w:p w:rsidR="00F317BB" w:rsidRPr="00F317BB" w:rsidRDefault="00F317BB" w:rsidP="00F317BB">
      <w:pPr>
        <w:shd w:val="clear" w:color="auto" w:fill="FFFFFF"/>
        <w:spacing w:after="150" w:line="240" w:lineRule="auto"/>
        <w:ind w:firstLine="360"/>
        <w:jc w:val="both"/>
        <w:rPr>
          <w:rFonts w:ascii="Times New Roman" w:eastAsia="Times New Roman" w:hAnsi="Times New Roman" w:cs="Times New Roman"/>
          <w:color w:val="1A1A1A"/>
          <w:sz w:val="24"/>
          <w:szCs w:val="24"/>
          <w:lang w:eastAsia="ru-RU"/>
        </w:rPr>
      </w:pPr>
      <w:r w:rsidRPr="00F317BB">
        <w:rPr>
          <w:rFonts w:ascii="Times New Roman" w:eastAsia="Times New Roman" w:hAnsi="Times New Roman" w:cs="Times New Roman"/>
          <w:color w:val="1A1A1A"/>
          <w:sz w:val="24"/>
          <w:szCs w:val="24"/>
          <w:lang w:eastAsia="ru-RU"/>
        </w:rPr>
        <w:t>На состояние подконтрольной сферы в части устранения выявленных нарушений могут оказать влияние разработка, внедрение и поддержание в рабочем состоянии в подконтрольных субъектах системы качества, охватывающей все виды осуществляемой деятельности и направленной на обеспечение безопасности донорской крови и ее компонентов, проведение внутренних аудитов системы качества.</w:t>
      </w:r>
    </w:p>
    <w:p w:rsidR="0035051B" w:rsidRDefault="0035051B"/>
    <w:sectPr w:rsidR="003505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86C8A"/>
    <w:multiLevelType w:val="hybridMultilevel"/>
    <w:tmpl w:val="BEEE2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7BB"/>
    <w:rsid w:val="0035051B"/>
    <w:rsid w:val="00B94060"/>
    <w:rsid w:val="00F31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D06973-DAD3-4B0F-A5CA-AF3B8BFC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13"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18" Type="http://schemas.openxmlformats.org/officeDocument/2006/relationships/hyperlink" Target="consultantplus://offline/ref=365B2A1E7CFFD80EE674601ECD0E3C2EB04B3FD50F2B965ECD944EE7693ACE9BE071F7C60407893BL6f3I" TargetMode="External"/><Relationship Id="rId3" Type="http://schemas.openxmlformats.org/officeDocument/2006/relationships/settings" Target="settings.xml"/><Relationship Id="rId21" Type="http://schemas.openxmlformats.org/officeDocument/2006/relationships/hyperlink" Target="consultantplus://offline/ref=C3AD016DF60785ABF0BC05D6C5E2DA9F09366DCBE9C1FA8957F8B56C3B80C3359754385A64F1A1FEPEv6H" TargetMode="External"/><Relationship Id="rId7" Type="http://schemas.openxmlformats.org/officeDocument/2006/relationships/hyperlink" Target="consultantplus://offline/ref=147B6869FA0B397B2CA155F98C552AD134AC9030F820FD0A9FE12Er3R0I" TargetMode="External"/><Relationship Id="rId12"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17" Type="http://schemas.openxmlformats.org/officeDocument/2006/relationships/hyperlink" Target="consultantplus://offline/ref=365B2A1E7CFFD80EE674601ECD0E3C2EB3423ADC0C2A965ECD944EE7693ACE9BE071F7C60407883FL6fAI" TargetMode="External"/><Relationship Id="rId2" Type="http://schemas.openxmlformats.org/officeDocument/2006/relationships/styles" Target="styles.xml"/><Relationship Id="rId16" Type="http://schemas.openxmlformats.org/officeDocument/2006/relationships/hyperlink" Target="consultantplus://offline/ref=365B2A1E7CFFD80EE674601ECD0E3C2EB3423ADC0C2A965ECD944EE7693ACE9BE071F7C60407883FL6fBI" TargetMode="External"/><Relationship Id="rId20" Type="http://schemas.openxmlformats.org/officeDocument/2006/relationships/hyperlink" Target="consultantplus://offline/ref=206430C2240BF8962205A0DD61C4B6264C378554FA76B37004BBFA7E618400E6C6F40FAE2914R5M" TargetMode="External"/><Relationship Id="rId1" Type="http://schemas.openxmlformats.org/officeDocument/2006/relationships/numbering" Target="numbering.xml"/><Relationship Id="rId6" Type="http://schemas.openxmlformats.org/officeDocument/2006/relationships/hyperlink" Target="consultantplus://offline/ref=147B6869FA0B397B2CA155F98C552AD134A5963DF072AA08CEB42035CAD21FE55D73515A82C89DA9rAR5I" TargetMode="External"/><Relationship Id="rId11"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24" Type="http://schemas.openxmlformats.org/officeDocument/2006/relationships/theme" Target="theme/theme1.xml"/><Relationship Id="rId5" Type="http://schemas.openxmlformats.org/officeDocument/2006/relationships/hyperlink" Target="consultantplus://offline/ref=147B6869FA0B397B2CA155F98C552AD134A59134F071AA08CEB42035CAD21FE55D7351598ArCRFI" TargetMode="External"/><Relationship Id="rId15"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23" Type="http://schemas.openxmlformats.org/officeDocument/2006/relationships/fontTable" Target="fontTable.xml"/><Relationship Id="rId10"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19" Type="http://schemas.openxmlformats.org/officeDocument/2006/relationships/hyperlink" Target="consultantplus://offline/ref=34A7C0FAA8BCCCC65459EC42B59ADD681D917C132A9FE03B08FD689569446723D7E0B90CFE59Z9k6H" TargetMode="External"/><Relationship Id="rId4" Type="http://schemas.openxmlformats.org/officeDocument/2006/relationships/webSettings" Target="webSettings.xml"/><Relationship Id="rId9"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14" Type="http://schemas.openxmlformats.org/officeDocument/2006/relationships/hyperlink" Target="file:///C:\Users\nazarkinsa\AppData\Local\Microsoft\Windows\Temporary%20Internet%20Files\Content.Outlook\H1SVVFPJ\%D0%9E%D0%B1%D0%B7%D0%BE%D1%80%20%D0%BF%D1%80%D0%B0%D0%B2%D0%BE%D0%BF%D1%80%D0%B8%D0%BC%D0%B5%D0%BD%D0%B8%D1%82%D0%B5%D0%BB%D1%8C%D0%BD%D0%BE%D0%B9%20%D0%BF%D1%80%D0%B0%D0%BA%D1%82%D0%B8%D0%BA%D0%B8.docx" TargetMode="External"/><Relationship Id="rId22" Type="http://schemas.openxmlformats.org/officeDocument/2006/relationships/hyperlink" Target="consultantplus://offline/ref=AA5B1D0CFDEFB177EAC3447D810653AFDE9A91B88132053BE68BF072BF4E200D90AB1A0B5AA127EEE2e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6579</Words>
  <Characters>37504</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dc:description/>
  <cp:lastModifiedBy>User9</cp:lastModifiedBy>
  <cp:revision>2</cp:revision>
  <dcterms:created xsi:type="dcterms:W3CDTF">2018-01-17T11:17:00Z</dcterms:created>
  <dcterms:modified xsi:type="dcterms:W3CDTF">2018-01-17T11:20:00Z</dcterms:modified>
</cp:coreProperties>
</file>