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F0A" w:rsidRPr="001B45E4" w:rsidRDefault="00207F0A" w:rsidP="00D9497C">
      <w:pPr>
        <w:shd w:val="clear" w:color="auto" w:fill="FFFFFF"/>
        <w:spacing w:after="150" w:line="240" w:lineRule="auto"/>
        <w:jc w:val="center"/>
        <w:rPr>
          <w:rFonts w:ascii="Times New Roman" w:eastAsia="Times New Roman" w:hAnsi="Times New Roman" w:cs="Times New Roman"/>
          <w:sz w:val="24"/>
          <w:szCs w:val="24"/>
          <w:lang w:eastAsia="ru-RU"/>
        </w:rPr>
      </w:pPr>
      <w:r w:rsidRPr="001B45E4">
        <w:rPr>
          <w:rFonts w:ascii="Times New Roman" w:eastAsia="Times New Roman" w:hAnsi="Times New Roman" w:cs="Times New Roman"/>
          <w:bCs/>
          <w:sz w:val="24"/>
          <w:szCs w:val="24"/>
          <w:lang w:eastAsia="ru-RU"/>
        </w:rPr>
        <w:t>Руководство по соблюдению действующих обязательных требований при осуществлении государственного контроля за обеспечением безопасности донорской крови и ее компонентов</w:t>
      </w:r>
    </w:p>
    <w:p w:rsidR="00207F0A" w:rsidRPr="001B45E4" w:rsidRDefault="00207F0A" w:rsidP="00D9497C">
      <w:pPr>
        <w:shd w:val="clear" w:color="auto" w:fill="FFFFFF"/>
        <w:spacing w:after="150" w:line="240" w:lineRule="auto"/>
        <w:jc w:val="center"/>
        <w:rPr>
          <w:rFonts w:ascii="Times New Roman" w:eastAsia="Times New Roman" w:hAnsi="Times New Roman" w:cs="Times New Roman"/>
          <w:sz w:val="24"/>
          <w:szCs w:val="24"/>
          <w:lang w:eastAsia="ru-RU"/>
        </w:rPr>
      </w:pPr>
      <w:r w:rsidRPr="001B45E4">
        <w:rPr>
          <w:rFonts w:ascii="Times New Roman" w:eastAsia="Times New Roman" w:hAnsi="Times New Roman" w:cs="Times New Roman"/>
          <w:bCs/>
          <w:sz w:val="24"/>
          <w:szCs w:val="24"/>
          <w:lang w:eastAsia="ru-RU"/>
        </w:rPr>
        <w:t>(с разъяснением новых требований</w:t>
      </w:r>
      <w:r w:rsidR="00D9497C">
        <w:rPr>
          <w:rFonts w:ascii="Times New Roman" w:eastAsia="Times New Roman" w:hAnsi="Times New Roman" w:cs="Times New Roman"/>
          <w:bCs/>
          <w:sz w:val="24"/>
          <w:szCs w:val="24"/>
          <w:lang w:eastAsia="ru-RU"/>
        </w:rPr>
        <w:t xml:space="preserve"> </w:t>
      </w:r>
      <w:bookmarkStart w:id="0" w:name="_GoBack"/>
      <w:bookmarkEnd w:id="0"/>
      <w:r w:rsidRPr="001B45E4">
        <w:rPr>
          <w:rFonts w:ascii="Times New Roman" w:eastAsia="Times New Roman" w:hAnsi="Times New Roman" w:cs="Times New Roman"/>
          <w:bCs/>
          <w:sz w:val="24"/>
          <w:szCs w:val="24"/>
          <w:lang w:eastAsia="ru-RU"/>
        </w:rPr>
        <w:t>нормативных правовых актов)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70AD47" w:themeColor="accent6"/>
          <w:sz w:val="24"/>
          <w:szCs w:val="24"/>
          <w:lang w:eastAsia="ru-RU"/>
        </w:rPr>
      </w:pPr>
      <w:r w:rsidRPr="00E52851">
        <w:rPr>
          <w:rFonts w:ascii="Times New Roman" w:eastAsia="Times New Roman" w:hAnsi="Times New Roman" w:cs="Times New Roman"/>
          <w:color w:val="70AD47" w:themeColor="accent6"/>
          <w:sz w:val="24"/>
          <w:szCs w:val="24"/>
          <w:lang w:eastAsia="ru-RU"/>
        </w:rPr>
        <w:t> </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Общие положения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Руководство по соблюдению действующих обязательных требований при осуществлении государственного контроля за обеспечением безопасности донорской крови и ее компонентов (с разъяснением новых требований нормативных правовых актов) разработано в соответствии с Методическими рекомендациями по подготовке и проведению профилактических мероприятий, направленных на предупреждение нарушения обязательных требований с целью обеспечения соблюдения подконтрольными субъектами обязательных требований, содержащихся в нормативных правовых актах.</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Государственный контроль - одна из функций государства, осуществляемая в целях организации выполнения законов и иных нормативных правовых актов.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пресечение правонарушений и применение санкций.</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(плановых и внеплановых, выездных и документарных), рассмотрения жалоб, заявлений, сообщений средств массовой информации и т.д.</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Новые требования нормативных правовых актов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С 01.01.2017 вступили в силу положения Федерального закона от 03.07.2016 № 277-ФЗ, которым были внесены существенные изменения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В соответствии с </w:t>
      </w:r>
      <w:hyperlink r:id="rId5" w:history="1">
        <w:r w:rsidRPr="00E52851">
          <w:rPr>
            <w:rFonts w:ascii="Times New Roman" w:eastAsia="Times New Roman" w:hAnsi="Times New Roman" w:cs="Times New Roman"/>
            <w:color w:val="0072E4"/>
            <w:sz w:val="24"/>
            <w:szCs w:val="24"/>
            <w:lang w:eastAsia="ru-RU"/>
          </w:rPr>
          <w:t>п. 1 ч. 2 ст. 8.2</w:t>
        </w:r>
      </w:hyperlink>
      <w:r w:rsidRPr="00E52851">
        <w:rPr>
          <w:rFonts w:ascii="Times New Roman" w:eastAsia="Times New Roman" w:hAnsi="Times New Roman" w:cs="Times New Roman"/>
          <w:color w:val="1A1A1A"/>
          <w:sz w:val="24"/>
          <w:szCs w:val="24"/>
          <w:lang w:eastAsia="ru-RU"/>
        </w:rPr>
        <w:t> Федерального закона на официальных сайтах органов государственного контроля в сети «Интернет» для каждого вида государственного контроля размещаются перечни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а также тексты соответствующих нормативных правовых актов.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Перечень нормативных правовых актов, исполнение которых проверяется ФМБА России, утвержден приказом ФМБА России от 30.12.2016 № 288 «Об утверждении Перечня правовых актов, содержащих обязательные требования, соблюдение которых оценивается при проведении мероприятий по контролю ФМБА России и его территориальными органами».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Перечень нормативных правовых актов и их тексты размещены на официальном сайте ФМБА России в подразделе «Перечень правовых актов, содержащих обязательные требования, соблюдение которых оценивается при проведении мероприятий по контролю» раздела «Документы» по адресу: http://fmbaros.ru/documen/documen_perech/.</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Комментарии и предложения в отношении содержания перечня правовых актов, содержащих обязательные требования, соблюдение которых оценивается при проведении мероприятий по контролю при осуществлении государственного контроля за обеспечением безопасности донорской крови и ее компонентов, могут быть направлены заинтересованными лицами через форму обратной связи по адресу: http://fmbaros.ru/documen/documen_perech/.</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В соответствии со </w:t>
      </w:r>
      <w:hyperlink r:id="rId6" w:history="1">
        <w:r w:rsidRPr="00E52851">
          <w:rPr>
            <w:rFonts w:ascii="Times New Roman" w:eastAsia="Times New Roman" w:hAnsi="Times New Roman" w:cs="Times New Roman"/>
            <w:color w:val="0072E4"/>
            <w:sz w:val="24"/>
            <w:szCs w:val="24"/>
            <w:lang w:eastAsia="ru-RU"/>
          </w:rPr>
          <w:t>ст. 8.2</w:t>
        </w:r>
      </w:hyperlink>
      <w:r w:rsidRPr="00E52851">
        <w:rPr>
          <w:rFonts w:ascii="Times New Roman" w:eastAsia="Times New Roman" w:hAnsi="Times New Roman" w:cs="Times New Roman"/>
          <w:color w:val="1A1A1A"/>
          <w:sz w:val="24"/>
          <w:szCs w:val="24"/>
          <w:lang w:eastAsia="ru-RU"/>
        </w:rPr>
        <w:t> Федерального закона,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Программа профилактики нарушений обязательных требований законодательства о донорстве крови и ее компонентов на 2017 год, предусмотренная ч. 1 ст.8.2 Закона № 294-ФЗ, утверждена приказом ФМБА России от 17.02.2017 № 24 и опубликована на сайте ФМБА России в подразделе «Нормативные правовые документы ФМБА России» раздела «Документы».</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 В соответствии с ч. 5 ст. 8.2 Федерального закона предусмотрено направление органами государственного контроля юридическим лицам, индивидуальным предпринимателям предостережения о недопустимости нарушения обязательных требований при наличии у органа государственного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подтверждённые данные о том, что нарушение обязательных требований причинило вред жизни, здоровью граждан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Порядок и сроки составления и направления предостережений, порядок подачи подконтрольным субъектом возражений на такое предостережение и сроки их рассмотрения органом государственного контроля, содержание предостережения о недопустимости нарушения обязательных требований утверждены постановлением Правительства РФ от 10.02.2017 № 166.</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4. В соответствии со </w:t>
      </w:r>
      <w:hyperlink r:id="rId7" w:history="1">
        <w:r w:rsidRPr="00E52851">
          <w:rPr>
            <w:rFonts w:ascii="Times New Roman" w:eastAsia="Times New Roman" w:hAnsi="Times New Roman" w:cs="Times New Roman"/>
            <w:color w:val="0072E4"/>
            <w:sz w:val="24"/>
            <w:szCs w:val="24"/>
            <w:lang w:eastAsia="ru-RU"/>
          </w:rPr>
          <w:t>ст. 8.3</w:t>
        </w:r>
      </w:hyperlink>
      <w:r w:rsidRPr="00E52851">
        <w:rPr>
          <w:rFonts w:ascii="Times New Roman" w:eastAsia="Times New Roman" w:hAnsi="Times New Roman" w:cs="Times New Roman"/>
          <w:color w:val="1A1A1A"/>
          <w:sz w:val="24"/>
          <w:szCs w:val="24"/>
          <w:lang w:eastAsia="ru-RU"/>
        </w:rPr>
        <w:t> Федерального закона определены основные понятия мероприятий по контролю без взаимодействия с юридическими лицами, индивидуальными предпринимателями.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К мероприятиям по контролю без взаимодействия с юридическими лицами, индивидуальными предпринимателями относятся, в том числе:</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другие виды и формы мероприятий по контролю, установленные федеральными законами.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По результатам таких мероприятий юридическим лицам, индивидуальным предпринимателям может быть направлено предостережение о недопустимости нарушения обязательных требований.</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органа государственного контроля принимают в пределах своей компетенции меры по пресечению таких нарушений, а также направляют письменное мотивированное представление с информацией о выявленных нарушениях, которое является основанием для проведения внеплановой проверки согласно новой редакции п. 2 ч. 2 ст.10 Федерального закона.</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5. В соответствии с </w:t>
      </w:r>
      <w:hyperlink r:id="rId8" w:history="1">
        <w:r w:rsidRPr="00E52851">
          <w:rPr>
            <w:rFonts w:ascii="Times New Roman" w:eastAsia="Times New Roman" w:hAnsi="Times New Roman" w:cs="Times New Roman"/>
            <w:color w:val="0072E4"/>
            <w:sz w:val="24"/>
            <w:szCs w:val="24"/>
            <w:lang w:eastAsia="ru-RU"/>
          </w:rPr>
          <w:t>ч. 11.1</w:t>
        </w:r>
      </w:hyperlink>
      <w:r w:rsidRPr="00E52851">
        <w:rPr>
          <w:rFonts w:ascii="Times New Roman" w:eastAsia="Times New Roman" w:hAnsi="Times New Roman" w:cs="Times New Roman"/>
          <w:color w:val="1A1A1A"/>
          <w:sz w:val="24"/>
          <w:szCs w:val="24"/>
          <w:lang w:eastAsia="ru-RU"/>
        </w:rPr>
        <w:t> - </w:t>
      </w:r>
      <w:hyperlink r:id="rId9" w:history="1">
        <w:r w:rsidRPr="00E52851">
          <w:rPr>
            <w:rFonts w:ascii="Times New Roman" w:eastAsia="Times New Roman" w:hAnsi="Times New Roman" w:cs="Times New Roman"/>
            <w:color w:val="0072E4"/>
            <w:sz w:val="24"/>
            <w:szCs w:val="24"/>
            <w:lang w:eastAsia="ru-RU"/>
          </w:rPr>
          <w:t>11.5 ст. 9</w:t>
        </w:r>
      </w:hyperlink>
      <w:r w:rsidRPr="00E52851">
        <w:rPr>
          <w:rFonts w:ascii="Times New Roman" w:eastAsia="Times New Roman" w:hAnsi="Times New Roman" w:cs="Times New Roman"/>
          <w:color w:val="1A1A1A"/>
          <w:sz w:val="24"/>
          <w:szCs w:val="24"/>
          <w:lang w:eastAsia="ru-RU"/>
        </w:rPr>
        <w:t> Федерального закона введены положения об использовании органами государственного контроля при проведении плановых проверок проверочных листов (списков контрольных вопросов).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Общие требования к разработке и утверждению проверочных листов (списков контрольных вопросов) утверждены постановлением Правительства РФ от 13.02.2017 № 177.</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 настоящее время ФМБА России ведет работу по разработке проверочных листов в области государственного контроля за обеспечением безопасности донорской крови и ее компонентов.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6. Вступили в силу и положения </w:t>
      </w:r>
      <w:hyperlink r:id="rId10" w:history="1">
        <w:r w:rsidRPr="00E52851">
          <w:rPr>
            <w:rFonts w:ascii="Times New Roman" w:eastAsia="Times New Roman" w:hAnsi="Times New Roman" w:cs="Times New Roman"/>
            <w:color w:val="0072E4"/>
            <w:sz w:val="24"/>
            <w:szCs w:val="24"/>
            <w:lang w:eastAsia="ru-RU"/>
          </w:rPr>
          <w:t>ч. 8 ст. 8.1</w:t>
        </w:r>
      </w:hyperlink>
      <w:r w:rsidRPr="00E52851">
        <w:rPr>
          <w:rFonts w:ascii="Times New Roman" w:eastAsia="Times New Roman" w:hAnsi="Times New Roman" w:cs="Times New Roman"/>
          <w:color w:val="1A1A1A"/>
          <w:sz w:val="24"/>
          <w:szCs w:val="24"/>
          <w:lang w:eastAsia="ru-RU"/>
        </w:rPr>
        <w:t> Федерального закона об использовании индикаторов риска нарушения обязательных требований.</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 соответствии с указанной нормой, Положениями о видах федерального государственного контроля, указанных в </w:t>
      </w:r>
      <w:hyperlink r:id="rId11" w:history="1">
        <w:r w:rsidRPr="00E52851">
          <w:rPr>
            <w:rFonts w:ascii="Times New Roman" w:eastAsia="Times New Roman" w:hAnsi="Times New Roman" w:cs="Times New Roman"/>
            <w:color w:val="0072E4"/>
            <w:sz w:val="24"/>
            <w:szCs w:val="24"/>
            <w:lang w:eastAsia="ru-RU"/>
          </w:rPr>
          <w:t>ч. 1 ст. 8.1</w:t>
        </w:r>
      </w:hyperlink>
      <w:r w:rsidRPr="00E52851">
        <w:rPr>
          <w:rFonts w:ascii="Times New Roman" w:eastAsia="Times New Roman" w:hAnsi="Times New Roman" w:cs="Times New Roman"/>
          <w:color w:val="1A1A1A"/>
          <w:sz w:val="24"/>
          <w:szCs w:val="24"/>
          <w:lang w:eastAsia="ru-RU"/>
        </w:rPr>
        <w:t> Федерального закона, может быть предусмотрено использование органами государственного контроля для определения необходимости проведения внеплановых проверок и иных мероприятий по контролю, индикаторов риска нарушения обязательных требований.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ФМБА России ведет работу по определению индикаторов риска нарушения обязательных требований законодательства о донорстве крови и ее компонентов.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7. В соответствии с </w:t>
      </w:r>
      <w:hyperlink r:id="rId12" w:history="1">
        <w:r w:rsidRPr="00E52851">
          <w:rPr>
            <w:rFonts w:ascii="Times New Roman" w:eastAsia="Times New Roman" w:hAnsi="Times New Roman" w:cs="Times New Roman"/>
            <w:color w:val="0072E4"/>
            <w:sz w:val="24"/>
            <w:szCs w:val="24"/>
            <w:lang w:eastAsia="ru-RU"/>
          </w:rPr>
          <w:t>ч. 12 ст. 9</w:t>
        </w:r>
      </w:hyperlink>
      <w:r w:rsidRPr="00E52851">
        <w:rPr>
          <w:rFonts w:ascii="Times New Roman" w:eastAsia="Times New Roman" w:hAnsi="Times New Roman" w:cs="Times New Roman"/>
          <w:color w:val="1A1A1A"/>
          <w:sz w:val="24"/>
          <w:szCs w:val="24"/>
          <w:lang w:eastAsia="ru-RU"/>
        </w:rPr>
        <w:t>, </w:t>
      </w:r>
      <w:hyperlink r:id="rId13" w:history="1">
        <w:r w:rsidRPr="00E52851">
          <w:rPr>
            <w:rFonts w:ascii="Times New Roman" w:eastAsia="Times New Roman" w:hAnsi="Times New Roman" w:cs="Times New Roman"/>
            <w:color w:val="0072E4"/>
            <w:sz w:val="24"/>
            <w:szCs w:val="24"/>
            <w:lang w:eastAsia="ru-RU"/>
          </w:rPr>
          <w:t>ч. 16 ст. 10</w:t>
        </w:r>
      </w:hyperlink>
      <w:r w:rsidRPr="00E52851">
        <w:rPr>
          <w:rFonts w:ascii="Times New Roman" w:eastAsia="Times New Roman" w:hAnsi="Times New Roman" w:cs="Times New Roman"/>
          <w:color w:val="1A1A1A"/>
          <w:sz w:val="24"/>
          <w:szCs w:val="24"/>
          <w:lang w:eastAsia="ru-RU"/>
        </w:rPr>
        <w:t> Федерального закона уточнены способы возможного уведомления юридического лица, индивидуального предпринимателя о проведении проверки.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Так, установлено, что проверяемое лицо должно быть уведомлено не позднее чем за три рабочих дня до начала проведения плановой проверки (за 24 часа до проведения внеплановой выездной проверки) посредством направления копии распоряжения или приказа о проведении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8. В соответствии с </w:t>
      </w:r>
      <w:hyperlink r:id="rId14" w:history="1">
        <w:r w:rsidRPr="00E52851">
          <w:rPr>
            <w:rFonts w:ascii="Times New Roman" w:eastAsia="Times New Roman" w:hAnsi="Times New Roman" w:cs="Times New Roman"/>
            <w:color w:val="0072E4"/>
            <w:sz w:val="24"/>
            <w:szCs w:val="24"/>
            <w:lang w:eastAsia="ru-RU"/>
          </w:rPr>
          <w:t>ч. 3 ст. 10</w:t>
        </w:r>
      </w:hyperlink>
      <w:r w:rsidRPr="00E52851">
        <w:rPr>
          <w:rFonts w:ascii="Times New Roman" w:eastAsia="Times New Roman" w:hAnsi="Times New Roman" w:cs="Times New Roman"/>
          <w:color w:val="1A1A1A"/>
          <w:sz w:val="24"/>
          <w:szCs w:val="24"/>
          <w:lang w:eastAsia="ru-RU"/>
        </w:rPr>
        <w:t xml:space="preserve"> Федерального закона вступили в силу положения, регламентирующие порядок рассмотрения анонимных обращений, которые не могут служить основанием для проведения внеплановой проверки, если последние не позволяют </w:t>
      </w:r>
      <w:r w:rsidRPr="00E52851">
        <w:rPr>
          <w:rFonts w:ascii="Times New Roman" w:eastAsia="Times New Roman" w:hAnsi="Times New Roman" w:cs="Times New Roman"/>
          <w:color w:val="1A1A1A"/>
          <w:sz w:val="24"/>
          <w:szCs w:val="24"/>
          <w:lang w:eastAsia="ru-RU"/>
        </w:rPr>
        <w:lastRenderedPageBreak/>
        <w:t>установить лицо, обратившееся в орган государственного контроля, а также если такие обращения и заявления, не содержащие сведений о фактах, указанных в </w:t>
      </w:r>
      <w:hyperlink r:id="rId15" w:history="1">
        <w:r w:rsidRPr="00E52851">
          <w:rPr>
            <w:rFonts w:ascii="Times New Roman" w:eastAsia="Times New Roman" w:hAnsi="Times New Roman" w:cs="Times New Roman"/>
            <w:color w:val="0072E4"/>
            <w:sz w:val="24"/>
            <w:szCs w:val="24"/>
            <w:lang w:eastAsia="ru-RU"/>
          </w:rPr>
          <w:t>п. 2 ч. 2 ст. 10</w:t>
        </w:r>
      </w:hyperlink>
      <w:r w:rsidRPr="00E52851">
        <w:rPr>
          <w:rFonts w:ascii="Times New Roman" w:eastAsia="Times New Roman" w:hAnsi="Times New Roman" w:cs="Times New Roman"/>
          <w:color w:val="1A1A1A"/>
          <w:sz w:val="24"/>
          <w:szCs w:val="24"/>
          <w:lang w:eastAsia="ru-RU"/>
        </w:rPr>
        <w:t>Федерального закона.</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 частности, установлено, что в случае, если изложенная в обращении или заявлении информация может являться основанием для проведения внеплановой проверки, должностное лицо органа государственного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Ч. 3.2 ст. 10 Федерального закона предусмотрена процедура предварительной проверки поступивших обращений.</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причинении вреда окружающей среде (возникновении такой угрозы) уполномоченными должностными лицами органа государственного контроля может быть проведена предварительная проверка поступившей информации.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 ходе проведения предварительной проверки: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проводится рассмотрение документов юридического лица, индивидуального предпринимателя, имеющихся в распоряжении органа государственного контроля;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 2 ст. 10 Федерального закона, уполномоченное должностное лицо органа государственного контроля подготавливает мотивированное представление о назначении внеплановой проверки по основаниям, указанным в п. 2 ч. 2 ст. 10 Федерального закона.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9. В </w:t>
      </w:r>
      <w:hyperlink r:id="rId16" w:history="1">
        <w:r w:rsidRPr="00E52851">
          <w:rPr>
            <w:rFonts w:ascii="Times New Roman" w:eastAsia="Times New Roman" w:hAnsi="Times New Roman" w:cs="Times New Roman"/>
            <w:color w:val="0072E4"/>
            <w:sz w:val="24"/>
            <w:szCs w:val="24"/>
            <w:lang w:eastAsia="ru-RU"/>
          </w:rPr>
          <w:t>ч. 3.4</w:t>
        </w:r>
      </w:hyperlink>
      <w:r w:rsidRPr="00E52851">
        <w:rPr>
          <w:rFonts w:ascii="Times New Roman" w:eastAsia="Times New Roman" w:hAnsi="Times New Roman" w:cs="Times New Roman"/>
          <w:color w:val="1A1A1A"/>
          <w:sz w:val="24"/>
          <w:szCs w:val="24"/>
          <w:lang w:eastAsia="ru-RU"/>
        </w:rPr>
        <w:t>, </w:t>
      </w:r>
      <w:hyperlink r:id="rId17" w:history="1">
        <w:r w:rsidRPr="00E52851">
          <w:rPr>
            <w:rFonts w:ascii="Times New Roman" w:eastAsia="Times New Roman" w:hAnsi="Times New Roman" w:cs="Times New Roman"/>
            <w:color w:val="0072E4"/>
            <w:sz w:val="24"/>
            <w:szCs w:val="24"/>
            <w:lang w:eastAsia="ru-RU"/>
          </w:rPr>
          <w:t>3.5 ст. 10</w:t>
        </w:r>
      </w:hyperlink>
      <w:r w:rsidRPr="00E52851">
        <w:rPr>
          <w:rFonts w:ascii="Times New Roman" w:eastAsia="Times New Roman" w:hAnsi="Times New Roman" w:cs="Times New Roman"/>
          <w:color w:val="1A1A1A"/>
          <w:sz w:val="24"/>
          <w:szCs w:val="24"/>
          <w:lang w:eastAsia="ru-RU"/>
        </w:rPr>
        <w:t> Федерального закона урегулирован порядок действий органа государственного контроля при установлении анонимности или недостоверности обращения.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xml:space="preserve">По решению руководителя, заместителя руководителя ФМБА России (территориального органа ФМБА России) предварительная проверка, внеплановая проверка прекращаются, если после начала соответствующей проверки выявлена анонимность обращения или </w:t>
      </w:r>
      <w:r w:rsidRPr="00E52851">
        <w:rPr>
          <w:rFonts w:ascii="Times New Roman" w:eastAsia="Times New Roman" w:hAnsi="Times New Roman" w:cs="Times New Roman"/>
          <w:color w:val="1A1A1A"/>
          <w:sz w:val="24"/>
          <w:szCs w:val="24"/>
          <w:lang w:eastAsia="ru-RU"/>
        </w:rPr>
        <w:lastRenderedPageBreak/>
        <w:t>заявления, явившихся поводом для ее организации, либо установлены заведомо недостоверные сведения, содержащиеся в обращении или заявлении.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Кроме того, орган государственного контроля вправе обратиться в суд с иском о взыскании с гражданина, юридического лица, индивидуального предпринимателя расходов, понесённых таким органом в связи с рассмотрением поступивших заявлений, обращений указанных лиц, если в заявлениях, обращениях были указаны заведомо ложные сведения.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10. В </w:t>
      </w:r>
      <w:hyperlink r:id="rId18" w:history="1">
        <w:r w:rsidRPr="00E52851">
          <w:rPr>
            <w:rFonts w:ascii="Times New Roman" w:eastAsia="Times New Roman" w:hAnsi="Times New Roman" w:cs="Times New Roman"/>
            <w:color w:val="0072E4"/>
            <w:sz w:val="24"/>
            <w:szCs w:val="24"/>
            <w:lang w:eastAsia="ru-RU"/>
          </w:rPr>
          <w:t>ч. 10 ст. 11</w:t>
        </w:r>
      </w:hyperlink>
      <w:r w:rsidRPr="00E52851">
        <w:rPr>
          <w:rFonts w:ascii="Times New Roman" w:eastAsia="Times New Roman" w:hAnsi="Times New Roman" w:cs="Times New Roman"/>
          <w:color w:val="1A1A1A"/>
          <w:sz w:val="24"/>
          <w:szCs w:val="24"/>
          <w:lang w:eastAsia="ru-RU"/>
        </w:rPr>
        <w:t> Федерального закона введена норма по запрету на истребование от юридического лица, индивидуального предпринимателя при проведении выездной проверки документов и (или) информации, которые были представлены ими в ходе проведения документарной проверки.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11. В соответствии с </w:t>
      </w:r>
      <w:hyperlink r:id="rId19" w:history="1">
        <w:r w:rsidRPr="00E52851">
          <w:rPr>
            <w:rFonts w:ascii="Times New Roman" w:eastAsia="Times New Roman" w:hAnsi="Times New Roman" w:cs="Times New Roman"/>
            <w:color w:val="0072E4"/>
            <w:sz w:val="24"/>
            <w:szCs w:val="24"/>
            <w:lang w:eastAsia="ru-RU"/>
          </w:rPr>
          <w:t>ч. 7 ст. 12</w:t>
        </w:r>
      </w:hyperlink>
      <w:r w:rsidRPr="00E52851">
        <w:rPr>
          <w:rFonts w:ascii="Times New Roman" w:eastAsia="Times New Roman" w:hAnsi="Times New Roman" w:cs="Times New Roman"/>
          <w:color w:val="1A1A1A"/>
          <w:sz w:val="24"/>
          <w:szCs w:val="24"/>
          <w:lang w:eastAsia="ru-RU"/>
        </w:rPr>
        <w:t> вступили в силу положения, определяющие порядок действий органа государственного контроля в случае невозможности проведения проверки, положения, предусматривающие составление акта о невозможности проведения проверки.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 частности, должностное лицо органа государственного контроля составляет акт о невозможности проведения проверки с указанием причин невозможности ее проведения в случаях, если проведение плановой или внеплановой выездной проверки оказалось невозможным в связи с:</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отсутствием индивидуального предпринимателя, его уполномоченного представителя, руководителя или иного должностного лица юридического лица;</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фактическим неосуществлением деятельности юридическим лицом, индивидуальным предпринимателем;</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При этом необходимо отметить, что при выявлении виновных действий проверяемых лиц, направленных на воспрепятствование законной деятельности должностного лица органа государственного контроля по проведению проверок или уклонение от таких проверок, ФМБА России (территориальным органам ФМБА России) возбуждается дело об административном правонарушении по ст. 19.4.1 КоАП РФ с направлением соответствующих материалов для рассмотрения в суд.</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Кроме того, орган государственного контроля в течение трёх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12. В соответствии с </w:t>
      </w:r>
      <w:hyperlink r:id="rId20" w:history="1">
        <w:r w:rsidRPr="00E52851">
          <w:rPr>
            <w:rFonts w:ascii="Times New Roman" w:eastAsia="Times New Roman" w:hAnsi="Times New Roman" w:cs="Times New Roman"/>
            <w:color w:val="0072E4"/>
            <w:sz w:val="24"/>
            <w:szCs w:val="24"/>
            <w:lang w:eastAsia="ru-RU"/>
          </w:rPr>
          <w:t>ч. 2 ст. 14</w:t>
        </w:r>
      </w:hyperlink>
      <w:r w:rsidRPr="00E52851">
        <w:rPr>
          <w:rFonts w:ascii="Times New Roman" w:eastAsia="Times New Roman" w:hAnsi="Times New Roman" w:cs="Times New Roman"/>
          <w:color w:val="1A1A1A"/>
          <w:sz w:val="24"/>
          <w:szCs w:val="24"/>
          <w:lang w:eastAsia="ru-RU"/>
        </w:rPr>
        <w:t> Федерального закона установлены требования к содержанию и форме распоряжения (приказа) о проведении проверки, которые устанавливаются федеральным органом исполнительной власти, уполномоченным Правительством Российской Федерации (Минэкономразвития России).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 целью реализации данных изменений Минэкономразвития России издан приказ от 30.09.2016 № 620 «О внесении изменений в приказ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Данным документом изменена типовая форма приказа (распоряжения) о проведении проверки.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13. В ч. 9 ст. 15 Федерального закона предусмотрено, что при проведении проверки должностные лица органа государственного контроля не вправе требовать от юридического лица, индивидуального предпринимателя представления документов, информации до даты начала проведения проверки.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Вместе с тем, орган государственного контроля после издания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p w:rsidR="00207F0A" w:rsidRPr="00E52851" w:rsidRDefault="00207F0A" w:rsidP="00D9497C">
      <w:pPr>
        <w:shd w:val="clear" w:color="auto" w:fill="FFFFFF"/>
        <w:spacing w:after="150" w:line="240" w:lineRule="auto"/>
        <w:jc w:val="center"/>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Государственный контроль за обеспечением безопасности</w:t>
      </w:r>
    </w:p>
    <w:p w:rsidR="00207F0A" w:rsidRPr="00E52851" w:rsidRDefault="00207F0A" w:rsidP="00D9497C">
      <w:pPr>
        <w:shd w:val="clear" w:color="auto" w:fill="FFFFFF"/>
        <w:spacing w:after="150" w:line="240" w:lineRule="auto"/>
        <w:jc w:val="center"/>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донорской крови и ее компонентов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В соответствии со ст. 19 Федерального закона от 20.07.2012 № 125-ФЗ «О донорстве крови и ее компонентов» государственный контроль в сфере обращения донорской крови и (или) ее компонентов включает в себя: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лицензионный контроль при осуществлении федеральным органом исполнительной власти, осуществляющим контроль и надзор в сфере здравоохранения, и в рамках переданных полномочий уполномоченными органами исполнительной власти субъектов Российской Федерации лицензирования медицинской деятельности в соответствии с Федеральным </w:t>
      </w:r>
      <w:hyperlink r:id="rId21" w:history="1">
        <w:r w:rsidRPr="00E52851">
          <w:rPr>
            <w:rFonts w:ascii="Times New Roman" w:eastAsia="Times New Roman" w:hAnsi="Times New Roman" w:cs="Times New Roman"/>
            <w:color w:val="0072E4"/>
            <w:sz w:val="24"/>
            <w:szCs w:val="24"/>
            <w:lang w:eastAsia="ru-RU"/>
          </w:rPr>
          <w:t>законом</w:t>
        </w:r>
      </w:hyperlink>
      <w:r w:rsidRPr="00E52851">
        <w:rPr>
          <w:rFonts w:ascii="Times New Roman" w:eastAsia="Times New Roman" w:hAnsi="Times New Roman" w:cs="Times New Roman"/>
          <w:color w:val="1A1A1A"/>
          <w:sz w:val="24"/>
          <w:szCs w:val="24"/>
          <w:lang w:eastAsia="ru-RU"/>
        </w:rPr>
        <w:t> от 4 мая 2011 года № 99-ФЗ «О лицензировании отдельных видов деятельности»;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государственный </w:t>
      </w:r>
      <w:hyperlink r:id="rId22" w:history="1">
        <w:r w:rsidRPr="00E52851">
          <w:rPr>
            <w:rFonts w:ascii="Times New Roman" w:eastAsia="Times New Roman" w:hAnsi="Times New Roman" w:cs="Times New Roman"/>
            <w:color w:val="0072E4"/>
            <w:sz w:val="24"/>
            <w:szCs w:val="24"/>
            <w:lang w:eastAsia="ru-RU"/>
          </w:rPr>
          <w:t>контроль</w:t>
        </w:r>
      </w:hyperlink>
      <w:r w:rsidRPr="00E52851">
        <w:rPr>
          <w:rFonts w:ascii="Times New Roman" w:eastAsia="Times New Roman" w:hAnsi="Times New Roman" w:cs="Times New Roman"/>
          <w:color w:val="1A1A1A"/>
          <w:sz w:val="24"/>
          <w:szCs w:val="24"/>
          <w:lang w:eastAsia="ru-RU"/>
        </w:rPr>
        <w:t> за обеспечением безопасности донорской крови и ее компонентов при осуществлении уполномоченным федеральным органом исполнительной власти, осуществляющим функции по организации деятельности службы крови, контроля качества и безопасности медицинской деятельности в соответствии с Федеральным </w:t>
      </w:r>
      <w:hyperlink r:id="rId23" w:history="1">
        <w:r w:rsidRPr="00E52851">
          <w:rPr>
            <w:rFonts w:ascii="Times New Roman" w:eastAsia="Times New Roman" w:hAnsi="Times New Roman" w:cs="Times New Roman"/>
            <w:color w:val="0072E4"/>
            <w:sz w:val="24"/>
            <w:szCs w:val="24"/>
            <w:lang w:eastAsia="ru-RU"/>
          </w:rPr>
          <w:t>законом</w:t>
        </w:r>
      </w:hyperlink>
      <w:r w:rsidRPr="00E52851">
        <w:rPr>
          <w:rFonts w:ascii="Times New Roman" w:eastAsia="Times New Roman" w:hAnsi="Times New Roman" w:cs="Times New Roman"/>
          <w:color w:val="1A1A1A"/>
          <w:sz w:val="24"/>
          <w:szCs w:val="24"/>
          <w:lang w:eastAsia="ru-RU"/>
        </w:rPr>
        <w:t>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xml:space="preserve">В соответствии с Административным регламентом Федерального медико-биологического агентства по исполнению государственной функции по контролю и надзору в сфере донорства крови и ее компонентов, утвержденным приказом </w:t>
      </w:r>
      <w:proofErr w:type="spellStart"/>
      <w:r w:rsidRPr="00E52851">
        <w:rPr>
          <w:rFonts w:ascii="Times New Roman" w:eastAsia="Times New Roman" w:hAnsi="Times New Roman" w:cs="Times New Roman"/>
          <w:color w:val="1A1A1A"/>
          <w:sz w:val="24"/>
          <w:szCs w:val="24"/>
          <w:lang w:eastAsia="ru-RU"/>
        </w:rPr>
        <w:t>Минздравсоцразвития</w:t>
      </w:r>
      <w:proofErr w:type="spellEnd"/>
      <w:r w:rsidRPr="00E52851">
        <w:rPr>
          <w:rFonts w:ascii="Times New Roman" w:eastAsia="Times New Roman" w:hAnsi="Times New Roman" w:cs="Times New Roman"/>
          <w:color w:val="1A1A1A"/>
          <w:sz w:val="24"/>
          <w:szCs w:val="24"/>
          <w:lang w:eastAsia="ru-RU"/>
        </w:rPr>
        <w:t xml:space="preserve"> РФ от 29.09.2011 № 1093н в рамках исполнения государственного </w:t>
      </w:r>
      <w:hyperlink r:id="rId24" w:history="1">
        <w:r w:rsidRPr="00E52851">
          <w:rPr>
            <w:rFonts w:ascii="Times New Roman" w:eastAsia="Times New Roman" w:hAnsi="Times New Roman" w:cs="Times New Roman"/>
            <w:color w:val="0072E4"/>
            <w:sz w:val="24"/>
            <w:szCs w:val="24"/>
            <w:lang w:eastAsia="ru-RU"/>
          </w:rPr>
          <w:t>контроля</w:t>
        </w:r>
      </w:hyperlink>
      <w:r w:rsidRPr="00E52851">
        <w:rPr>
          <w:rFonts w:ascii="Times New Roman" w:eastAsia="Times New Roman" w:hAnsi="Times New Roman" w:cs="Times New Roman"/>
          <w:color w:val="1A1A1A"/>
          <w:sz w:val="24"/>
          <w:szCs w:val="24"/>
          <w:lang w:eastAsia="ru-RU"/>
        </w:rPr>
        <w:t> за обеспечением безопасности донорской крови и ее компонентов устанавливаются следующие административные процедуры:</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Получение и анализ сведений о соблюдении организациями здравоохранения, науки и образования, а также их структурными подразделениями, осуществляющими заготовку, переработку, хранение, транспортировку, применение и обеспечение безопасности донорской крови и ее компонентов, обязательных требований в сфере донорства крови и ее компонентов;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Проведение проверок осуществления организациями здравоохранения, науки и образования, а также их структурными подразделениями, осуществляющими заготовку, переработку, хранение, транспортировку, применение и обеспечение безопасности донорской крови и ее компонентов, деятельности в сфере донорства крови и ее компонентов.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Административная процедура «Получение и анализ сведений о соблюдении организациями здравоохранения, науки и образования, а также их структурными подразделениями, осуществляющими заготовку, переработку, хранение, транспортировку, применение и обеспечение безопасности донорской крови и ее компонентов, обязательных требований в сфере донорства крови и ее компонентов» осуществляется постоянно.</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Федеральное медико-биологическое агентство и территориальные органы ФМБА России осуществляют сбор и анализ:</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идентификационных данных об организациях здравоохранения, включая идентификационный номер налогоплательщика, основной государственный регистрационный номер, дата государственной регистрации юридического лица, наименование структурных подразделений, осуществляющих заготовку, переработку, хранение, транспортировку, применение и обеспечение безопасности донорской крови и ее компонентов, номер и дата выдачи лицензии на осуществление медицинской деятельности по забору, заготовке, хранению донорской крови и ее компонентов, транспортировке донорской крови и ее компонентов, трансфузиологии;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рекламаций и жалоб на несоблюдение обязательных требований организациями здравоохранения;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 сведений о посттрансфузионных осложнениях, возникших вследствие деятельности организаций здравоохранения.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Федеральное медико-биологическое агентство получает сведения, необходимые для планирования исполнения государственной функции территориальными органами ФМБА России: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от органов управления здравоохранением субъектов Российской Федерации о деятельности организаций здравоохранения на территории субъекта;</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от федеральных органов исполнительной власти, имеющих подведомственные организации здравоохранения;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 от организаций здравоохранения;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4) от Федеральной службы по надзору в сфере здравоохранения;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5) от территориальных органов ФМБА России.</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Административная процедура «Проведение проверок осуществления организациями здравоохранения, науки и образования, а также их структурными подразделениями, осуществляющими заготовку, переработку, хранение, транспортировку, применение и обеспечение безопасности донорской крови и ее компонентов, деятельности в сфере донорства крови и ее компонентов» осуществляется в ходе плановых и внеплановых, выездных и документарных проверок соблюдения обязательных требований организациями здравоохранения.</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i/>
          <w:iCs/>
          <w:color w:val="1A1A1A"/>
          <w:sz w:val="24"/>
          <w:szCs w:val="24"/>
          <w:lang w:eastAsia="ru-RU"/>
        </w:rPr>
        <w:t> </w:t>
      </w:r>
    </w:p>
    <w:p w:rsidR="00D9497C" w:rsidRDefault="00D9497C"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p>
    <w:p w:rsidR="00D9497C" w:rsidRDefault="00D9497C"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p>
    <w:p w:rsidR="00D9497C" w:rsidRDefault="00D9497C"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p>
    <w:p w:rsidR="00D9497C" w:rsidRDefault="00D9497C"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p>
    <w:p w:rsidR="00D9497C" w:rsidRDefault="00D9497C"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Перечень актов, содержащих обязательные требования, соблюдение которых оценивается при проведении мероприятий по контролю при осуществлении государственного контроля за обеспечением безопасности донорской крови и ее компонентов</w:t>
      </w:r>
    </w:p>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bCs/>
          <w:color w:val="1A1A1A"/>
          <w:sz w:val="24"/>
          <w:szCs w:val="24"/>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20"/>
        <w:gridCol w:w="3532"/>
        <w:gridCol w:w="3538"/>
        <w:gridCol w:w="1549"/>
      </w:tblGrid>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п/п</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Наименование и реквизиты акта</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Краткое описание круга лиц и (или) перечня объектов, в отношении которых устанавливаются обязательные требования</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Указание на структурные единицы акта, соблюдение которых оценивается при проведении мероприятий по контролю*</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w:t>
            </w:r>
          </w:p>
        </w:tc>
        <w:tc>
          <w:tcPr>
            <w:tcW w:w="0" w:type="auto"/>
            <w:gridSpan w:val="3"/>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Федеральные законы</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1.1.</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«Гражданский кодекс Российской Федерации» от 26.01.1996 № 14-ФЗ</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«Гражданский кодекс Российской Федерации» (часть первая) от 30.11.1994 № 51-ФЗ</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1.3.</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 донорстве крови и её компонентов» от 20.07.2012 № 125-ФЗ</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1.4.</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«Об основах охраны здоровья граждан в Российской Федерации» от 21.11.2011 № 323-ФЗ</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ст. 38, 49</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w:t>
            </w:r>
          </w:p>
        </w:tc>
        <w:tc>
          <w:tcPr>
            <w:tcW w:w="0" w:type="auto"/>
            <w:gridSpan w:val="3"/>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Постановления Правительства Российской Федерации</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2.1.</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xml:space="preserve">«Об утверждении Правил безвозмездного обеспечения медицинских, образовательных и научных </w:t>
            </w:r>
            <w:r w:rsidRPr="00E52851">
              <w:rPr>
                <w:rFonts w:ascii="Times New Roman" w:eastAsia="Times New Roman" w:hAnsi="Times New Roman" w:cs="Times New Roman"/>
                <w:color w:val="1A1A1A"/>
                <w:sz w:val="24"/>
                <w:szCs w:val="24"/>
                <w:lang w:eastAsia="ru-RU"/>
              </w:rPr>
              <w:lastRenderedPageBreak/>
              <w:t>организаций, подведомственных федеральным органам исполнительной власти и государственным академиям наук, а также организаций федеральных органов исполнительной власти, в которых федеральным законом предусмотрена военная и приравненная к ней служба, донорской кровью и (или) ее компонентами для клинического использования» от 06.08.2013 № 674</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Субъекты обращения донорской крови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и (или) ее компонентов</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2.2.</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 ведении единой базы данных по осуществлению мероприятий, связанных с обеспечением безопасности донорской крови и ее компонентов, развитием, организацией и пропагандой донорства крови и ее компонентов» от 05.08.2013 № 667</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2.3.</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«Об утверждении Правил осуществления безвозмездной передачи донорской крови и (или) ее компонентов организациями, входящими в службу крови» от 12.04.2013 № 332</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2.4.</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«Об утверждении Правил обеспечения медицинских, образовательных, научных и иных организаций донорской кровью и (или) ее компонентами в иных целях, кроме клинического использования» от 12.04.2013 № 331</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2.5.</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 лицензировании медицинской деятельности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E52851">
              <w:rPr>
                <w:rFonts w:ascii="Times New Roman" w:eastAsia="Times New Roman" w:hAnsi="Times New Roman" w:cs="Times New Roman"/>
                <w:color w:val="1A1A1A"/>
                <w:sz w:val="24"/>
                <w:szCs w:val="24"/>
                <w:lang w:eastAsia="ru-RU"/>
              </w:rPr>
              <w:t>Сколково</w:t>
            </w:r>
            <w:proofErr w:type="spellEnd"/>
            <w:r w:rsidRPr="00E52851">
              <w:rPr>
                <w:rFonts w:ascii="Times New Roman" w:eastAsia="Times New Roman" w:hAnsi="Times New Roman" w:cs="Times New Roman"/>
                <w:color w:val="1A1A1A"/>
                <w:sz w:val="24"/>
                <w:szCs w:val="24"/>
                <w:lang w:eastAsia="ru-RU"/>
              </w:rPr>
              <w:t>»)» от 16.04.2012 № 291</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Субъекты обращения донорской крови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xml:space="preserve">п. 1, 3, 6 Положения о </w:t>
            </w:r>
            <w:r w:rsidRPr="00E52851">
              <w:rPr>
                <w:rFonts w:ascii="Times New Roman" w:eastAsia="Times New Roman" w:hAnsi="Times New Roman" w:cs="Times New Roman"/>
                <w:color w:val="1A1A1A"/>
                <w:sz w:val="24"/>
                <w:szCs w:val="24"/>
                <w:lang w:eastAsia="ru-RU"/>
              </w:rPr>
              <w:lastRenderedPageBreak/>
              <w:t>лицензировании медицинской деятельности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2.6.</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«Об утверждении правил и методов исследований и правил отбора образцов донорской крови, необходимые для применения и исполнения технического регламента о требованиях безопасности крови, ее продуктов, кровезамещающих растворов и технических средств, используемых в трансфузионно-инфузионной терапии» от 31.12.2010 № 1230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и (или) ее компонентов</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2.7.</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«Об утверждении технического регламента о требованиях безопасности крови, её продуктов, кровезамещающих растворов и технических средств, используемых в трансфузионно-инфузионной терапии» от 26.01.2010 № 29</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Субъекты обращения донорской крови и (или) ее компонентов.</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Перечень объектов, в отношении которых устанавливаются обязательные требования:</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1) донорская кровь и ее компоненты;</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2) препараты из донорской крови;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 кровезамещающие растворы;</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4) технические средства, используемые в трансфузионно-инфузионной терапии, в частности изделия медицинского назначения (контейнеры полимерные, системы, устройства и приспособления однократного применения, в том числе для соединения полимерных магистралей);</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5) процессы заготовки, переработки, хранения, транспортировки, утилизации, применения и обеспечения безопасности донорской крови 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w:t>
            </w:r>
          </w:p>
        </w:tc>
        <w:tc>
          <w:tcPr>
            <w:tcW w:w="0" w:type="auto"/>
            <w:gridSpan w:val="3"/>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Нормативные правовые акты федеральных органов</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исполнительной власти</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3.1.</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25"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19.07.2013 № 478н «Об утверждении норматива запаса донорской крови и (или) ее компонентов, а также порядок его формирования и расходования»</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w:t>
            </w:r>
          </w:p>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3.2.</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26"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03.06.2013 № 348н «О порядке представления информации о реакциях и об осложнениях, возникших у реципиентов в связи с трансфузией (переливанием) донорской крови и (или) ее компонентов, в федеральный орган исполнительной власти, осуществляющий функции по организации деятельности службы крови»</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Медицинские организации, </w:t>
            </w:r>
            <w:proofErr w:type="spellStart"/>
            <w:r w:rsidRPr="00E52851">
              <w:rPr>
                <w:rFonts w:ascii="Times New Roman" w:eastAsia="Times New Roman" w:hAnsi="Times New Roman" w:cs="Times New Roman"/>
                <w:color w:val="1A1A1A"/>
                <w:sz w:val="24"/>
                <w:szCs w:val="24"/>
                <w:lang w:eastAsia="ru-RU"/>
              </w:rPr>
              <w:t>осуществляющиеклиническое</w:t>
            </w:r>
            <w:proofErr w:type="spellEnd"/>
            <w:r w:rsidRPr="00E52851">
              <w:rPr>
                <w:rFonts w:ascii="Times New Roman" w:eastAsia="Times New Roman" w:hAnsi="Times New Roman" w:cs="Times New Roman"/>
                <w:color w:val="1A1A1A"/>
                <w:sz w:val="24"/>
                <w:szCs w:val="24"/>
                <w:lang w:eastAsia="ru-RU"/>
              </w:rPr>
              <w:t xml:space="preserve"> использование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27"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02.04.2013 № 183н «Об утверждении правил клинического использования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Медицинские организации, осуществляющие клиническое использование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28"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xml:space="preserve"> Министерства здравоохранения Российской Федерации от 11.03.2013 № 121н «Об утверждении </w:t>
            </w:r>
            <w:r w:rsidR="00207F0A" w:rsidRPr="00E52851">
              <w:rPr>
                <w:rFonts w:ascii="Times New Roman" w:eastAsia="Times New Roman" w:hAnsi="Times New Roman" w:cs="Times New Roman"/>
                <w:color w:val="1A1A1A"/>
                <w:sz w:val="24"/>
                <w:szCs w:val="24"/>
                <w:lang w:eastAsia="ru-RU"/>
              </w:rPr>
              <w:lastRenderedPageBreak/>
              <w:t>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proofErr w:type="spellStart"/>
            <w:r w:rsidRPr="00E52851">
              <w:rPr>
                <w:rFonts w:ascii="Times New Roman" w:eastAsia="Times New Roman" w:hAnsi="Times New Roman" w:cs="Times New Roman"/>
                <w:color w:val="1A1A1A"/>
                <w:sz w:val="24"/>
                <w:szCs w:val="24"/>
                <w:lang w:eastAsia="ru-RU"/>
              </w:rPr>
              <w:t>Абз</w:t>
            </w:r>
            <w:proofErr w:type="spellEnd"/>
            <w:r w:rsidRPr="00E52851">
              <w:rPr>
                <w:rFonts w:ascii="Times New Roman" w:eastAsia="Times New Roman" w:hAnsi="Times New Roman" w:cs="Times New Roman"/>
                <w:color w:val="1A1A1A"/>
                <w:sz w:val="24"/>
                <w:szCs w:val="24"/>
                <w:lang w:eastAsia="ru-RU"/>
              </w:rPr>
              <w:t xml:space="preserve">. 62 подп. 5 п. 1; </w:t>
            </w:r>
            <w:proofErr w:type="spellStart"/>
            <w:r w:rsidRPr="00E52851">
              <w:rPr>
                <w:rFonts w:ascii="Times New Roman" w:eastAsia="Times New Roman" w:hAnsi="Times New Roman" w:cs="Times New Roman"/>
                <w:color w:val="1A1A1A"/>
                <w:sz w:val="24"/>
                <w:szCs w:val="24"/>
                <w:lang w:eastAsia="ru-RU"/>
              </w:rPr>
              <w:t>абз</w:t>
            </w:r>
            <w:proofErr w:type="spellEnd"/>
            <w:r w:rsidRPr="00E52851">
              <w:rPr>
                <w:rFonts w:ascii="Times New Roman" w:eastAsia="Times New Roman" w:hAnsi="Times New Roman" w:cs="Times New Roman"/>
                <w:color w:val="1A1A1A"/>
                <w:sz w:val="24"/>
                <w:szCs w:val="24"/>
                <w:lang w:eastAsia="ru-RU"/>
              </w:rPr>
              <w:t xml:space="preserve">. 82 подп.1 п. 3; </w:t>
            </w:r>
            <w:proofErr w:type="spellStart"/>
            <w:r w:rsidRPr="00E52851">
              <w:rPr>
                <w:rFonts w:ascii="Times New Roman" w:eastAsia="Times New Roman" w:hAnsi="Times New Roman" w:cs="Times New Roman"/>
                <w:color w:val="1A1A1A"/>
                <w:sz w:val="24"/>
                <w:szCs w:val="24"/>
                <w:lang w:eastAsia="ru-RU"/>
              </w:rPr>
              <w:lastRenderedPageBreak/>
              <w:t>абз</w:t>
            </w:r>
            <w:proofErr w:type="spellEnd"/>
            <w:r w:rsidRPr="00E52851">
              <w:rPr>
                <w:rFonts w:ascii="Times New Roman" w:eastAsia="Times New Roman" w:hAnsi="Times New Roman" w:cs="Times New Roman"/>
                <w:color w:val="1A1A1A"/>
                <w:sz w:val="24"/>
                <w:szCs w:val="24"/>
                <w:lang w:eastAsia="ru-RU"/>
              </w:rPr>
              <w:t xml:space="preserve">. 93 подп. 2 п. 3; </w:t>
            </w:r>
            <w:proofErr w:type="spellStart"/>
            <w:r w:rsidRPr="00E52851">
              <w:rPr>
                <w:rFonts w:ascii="Times New Roman" w:eastAsia="Times New Roman" w:hAnsi="Times New Roman" w:cs="Times New Roman"/>
                <w:color w:val="1A1A1A"/>
                <w:sz w:val="24"/>
                <w:szCs w:val="24"/>
                <w:lang w:eastAsia="ru-RU"/>
              </w:rPr>
              <w:t>абз</w:t>
            </w:r>
            <w:proofErr w:type="spellEnd"/>
            <w:r w:rsidRPr="00E52851">
              <w:rPr>
                <w:rFonts w:ascii="Times New Roman" w:eastAsia="Times New Roman" w:hAnsi="Times New Roman" w:cs="Times New Roman"/>
                <w:color w:val="1A1A1A"/>
                <w:sz w:val="24"/>
                <w:szCs w:val="24"/>
                <w:lang w:eastAsia="ru-RU"/>
              </w:rPr>
              <w:t>. 32 подп. 2 п. 5; п.8</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3.5.</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29"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и социального развития Российской Федерации от 28.03.2012 № 278н «Об утверждении требований к организациям здравоохранения (структурным подразделениям), осуществляющим заготовку, переработку, хранение и обеспечение безопасности донорской крови и ее компонентов, и перечня оборудования для их оснащения»</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3.6.</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xml:space="preserve">Приказ Министерства здравоохранения и социального развития Российской Федерации от 29.09.2011 № 1093н «Об утверждении </w:t>
            </w:r>
            <w:r w:rsidRPr="00E52851">
              <w:rPr>
                <w:rFonts w:ascii="Times New Roman" w:eastAsia="Times New Roman" w:hAnsi="Times New Roman" w:cs="Times New Roman"/>
                <w:color w:val="1A1A1A"/>
                <w:sz w:val="24"/>
                <w:szCs w:val="24"/>
                <w:lang w:eastAsia="ru-RU"/>
              </w:rPr>
              <w:lastRenderedPageBreak/>
              <w:t>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3.7.</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30"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16.02.2004 № 82 «О совершенствовании работы по профилактике посттрансфузионных осложнений»</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Медицинские организации, </w:t>
            </w:r>
            <w:proofErr w:type="spellStart"/>
            <w:r w:rsidRPr="00E52851">
              <w:rPr>
                <w:rFonts w:ascii="Times New Roman" w:eastAsia="Times New Roman" w:hAnsi="Times New Roman" w:cs="Times New Roman"/>
                <w:color w:val="1A1A1A"/>
                <w:sz w:val="24"/>
                <w:szCs w:val="24"/>
                <w:lang w:eastAsia="ru-RU"/>
              </w:rPr>
              <w:t>осуществляющиеклиническое</w:t>
            </w:r>
            <w:proofErr w:type="spellEnd"/>
            <w:r w:rsidRPr="00E52851">
              <w:rPr>
                <w:rFonts w:ascii="Times New Roman" w:eastAsia="Times New Roman" w:hAnsi="Times New Roman" w:cs="Times New Roman"/>
                <w:color w:val="1A1A1A"/>
                <w:sz w:val="24"/>
                <w:szCs w:val="24"/>
                <w:lang w:eastAsia="ru-RU"/>
              </w:rPr>
              <w:t xml:space="preserve"> использование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3.8.</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31"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25.11.2002 № 363 «Об утверждении Инструкции по применению компонентов крови»</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Медицинские организации, осуществляющие клиническое использование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3.9.</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32"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31.01.2002 № 25«О введении в действие отраслевого классификатора «Консервированная кровь человека и ее компоненты»</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Медицинские организации, осуществляющие заготовку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3.10.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33"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14.09.2001 № 364 «Об утверждении Порядка медицинского обследования донора крови и её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Медицинские организации, осуществляющие заготовку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3.11.</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34"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09.01.1998 № 2 «Об утверждении инструкций по иммуносерологии»</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r w:rsidR="00207F0A" w:rsidRPr="00E52851" w:rsidTr="00207F0A">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lastRenderedPageBreak/>
              <w:t>3.12.</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D9497C" w:rsidP="00E52851">
            <w:pPr>
              <w:spacing w:after="0" w:line="240" w:lineRule="auto"/>
              <w:jc w:val="both"/>
              <w:rPr>
                <w:rFonts w:ascii="Times New Roman" w:eastAsia="Times New Roman" w:hAnsi="Times New Roman" w:cs="Times New Roman"/>
                <w:color w:val="1A1A1A"/>
                <w:sz w:val="24"/>
                <w:szCs w:val="24"/>
                <w:lang w:eastAsia="ru-RU"/>
              </w:rPr>
            </w:pPr>
            <w:hyperlink r:id="rId35" w:anchor="sub_0" w:history="1">
              <w:r w:rsidR="00207F0A" w:rsidRPr="00E52851">
                <w:rPr>
                  <w:rFonts w:ascii="Times New Roman" w:eastAsia="Times New Roman" w:hAnsi="Times New Roman" w:cs="Times New Roman"/>
                  <w:color w:val="0072E4"/>
                  <w:sz w:val="24"/>
                  <w:szCs w:val="24"/>
                  <w:lang w:eastAsia="ru-RU"/>
                </w:rPr>
                <w:t>Приказ</w:t>
              </w:r>
            </w:hyperlink>
            <w:r w:rsidR="00207F0A" w:rsidRPr="00E52851">
              <w:rPr>
                <w:rFonts w:ascii="Times New Roman" w:eastAsia="Times New Roman" w:hAnsi="Times New Roman" w:cs="Times New Roman"/>
                <w:color w:val="1A1A1A"/>
                <w:sz w:val="24"/>
                <w:szCs w:val="24"/>
                <w:lang w:eastAsia="ru-RU"/>
              </w:rPr>
              <w:t> Министерства здравоохранения Российской Федерации от 29.05.1997 № 172 «О введении в номенклатуру врачебных и провизорских специальностей «Трансфузиология»</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Субъекты обращения донорской крови и (или) ее компонентов</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94" w:type="dxa"/>
              <w:left w:w="194" w:type="dxa"/>
              <w:bottom w:w="194" w:type="dxa"/>
              <w:right w:w="194" w:type="dxa"/>
            </w:tcMar>
            <w:hideMark/>
          </w:tcPr>
          <w:p w:rsidR="00207F0A" w:rsidRPr="00E52851" w:rsidRDefault="00207F0A" w:rsidP="00E52851">
            <w:pPr>
              <w:spacing w:after="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w:t>
            </w:r>
          </w:p>
        </w:tc>
      </w:tr>
    </w:tbl>
    <w:p w:rsidR="00207F0A" w:rsidRPr="00E52851" w:rsidRDefault="00207F0A" w:rsidP="00E52851">
      <w:pPr>
        <w:shd w:val="clear" w:color="auto" w:fill="FFFFFF"/>
        <w:spacing w:after="150" w:line="240" w:lineRule="auto"/>
        <w:jc w:val="both"/>
        <w:rPr>
          <w:rFonts w:ascii="Times New Roman" w:eastAsia="Times New Roman" w:hAnsi="Times New Roman" w:cs="Times New Roman"/>
          <w:color w:val="1A1A1A"/>
          <w:sz w:val="24"/>
          <w:szCs w:val="24"/>
          <w:lang w:eastAsia="ru-RU"/>
        </w:rPr>
      </w:pPr>
      <w:r w:rsidRPr="00E52851">
        <w:rPr>
          <w:rFonts w:ascii="Times New Roman" w:eastAsia="Times New Roman" w:hAnsi="Times New Roman" w:cs="Times New Roman"/>
          <w:color w:val="1A1A1A"/>
          <w:sz w:val="24"/>
          <w:szCs w:val="24"/>
          <w:lang w:eastAsia="ru-RU"/>
        </w:rPr>
        <w:t>* Структурные единицы акта указываются в случае содержания в одном акте обязательных требований, соблюдение которых оценивается при осуществлении нескольких видов государственного контроля (надзора). В иных случаях указания на структурные единицы акта может в Перечень актов не включаться.</w:t>
      </w: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p w:rsidR="00207F0A" w:rsidRPr="00E52851" w:rsidRDefault="00207F0A" w:rsidP="00E52851">
      <w:pPr>
        <w:jc w:val="both"/>
        <w:rPr>
          <w:rFonts w:ascii="Times New Roman" w:hAnsi="Times New Roman" w:cs="Times New Roman"/>
        </w:rPr>
      </w:pPr>
    </w:p>
    <w:sectPr w:rsidR="00207F0A" w:rsidRPr="00E528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86C8A"/>
    <w:multiLevelType w:val="hybridMultilevel"/>
    <w:tmpl w:val="BEEE21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F0A"/>
    <w:rsid w:val="000A2379"/>
    <w:rsid w:val="000A678B"/>
    <w:rsid w:val="001B2912"/>
    <w:rsid w:val="001B45E4"/>
    <w:rsid w:val="00202178"/>
    <w:rsid w:val="00207F0A"/>
    <w:rsid w:val="00600B08"/>
    <w:rsid w:val="006877B7"/>
    <w:rsid w:val="00696456"/>
    <w:rsid w:val="008B7347"/>
    <w:rsid w:val="009B16E9"/>
    <w:rsid w:val="00AB6E7C"/>
    <w:rsid w:val="00B80256"/>
    <w:rsid w:val="00D12CB0"/>
    <w:rsid w:val="00D43F56"/>
    <w:rsid w:val="00D9497C"/>
    <w:rsid w:val="00DD1DE0"/>
    <w:rsid w:val="00E52851"/>
    <w:rsid w:val="00E55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430E5-904F-4B1C-B29D-CA2B75E3B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B16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3">
    <w:name w:val="Знак Знак Знак Знак Знак Знак Знак Знак Знак Знак"/>
    <w:basedOn w:val="a"/>
    <w:rsid w:val="009B16E9"/>
    <w:pPr>
      <w:spacing w:before="100" w:beforeAutospacing="1" w:after="100" w:afterAutospacing="1" w:line="240" w:lineRule="auto"/>
    </w:pPr>
    <w:rPr>
      <w:rFonts w:ascii="Tahoma" w:eastAsia="Times New Roman" w:hAnsi="Tahoma" w:cs="Tahoma"/>
      <w:sz w:val="20"/>
      <w:szCs w:val="20"/>
      <w:lang w:val="en-US"/>
    </w:rPr>
  </w:style>
  <w:style w:type="paragraph" w:styleId="a4">
    <w:name w:val="Body Text"/>
    <w:basedOn w:val="a"/>
    <w:link w:val="a5"/>
    <w:rsid w:val="009B16E9"/>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9B16E9"/>
    <w:rPr>
      <w:rFonts w:ascii="Times New Roman" w:eastAsia="Times New Roman" w:hAnsi="Times New Roman" w:cs="Times New Roman"/>
      <w:sz w:val="24"/>
      <w:szCs w:val="24"/>
      <w:lang w:eastAsia="ru-RU"/>
    </w:rPr>
  </w:style>
  <w:style w:type="paragraph" w:customStyle="1" w:styleId="ConsPlusNonformat">
    <w:name w:val="ConsPlusNonformat"/>
    <w:rsid w:val="009B16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34"/>
    <w:qFormat/>
    <w:rsid w:val="00E528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322330">
      <w:bodyDiv w:val="1"/>
      <w:marLeft w:val="0"/>
      <w:marRight w:val="0"/>
      <w:marTop w:val="0"/>
      <w:marBottom w:val="0"/>
      <w:divBdr>
        <w:top w:val="none" w:sz="0" w:space="0" w:color="auto"/>
        <w:left w:val="none" w:sz="0" w:space="0" w:color="auto"/>
        <w:bottom w:val="none" w:sz="0" w:space="0" w:color="auto"/>
        <w:right w:val="none" w:sz="0" w:space="0" w:color="auto"/>
      </w:divBdr>
    </w:div>
    <w:div w:id="1953509946">
      <w:bodyDiv w:val="1"/>
      <w:marLeft w:val="0"/>
      <w:marRight w:val="0"/>
      <w:marTop w:val="0"/>
      <w:marBottom w:val="0"/>
      <w:divBdr>
        <w:top w:val="none" w:sz="0" w:space="0" w:color="auto"/>
        <w:left w:val="none" w:sz="0" w:space="0" w:color="auto"/>
        <w:bottom w:val="none" w:sz="0" w:space="0" w:color="auto"/>
        <w:right w:val="none" w:sz="0" w:space="0" w:color="auto"/>
      </w:divBdr>
    </w:div>
    <w:div w:id="212044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F2EC824DA422A9E3D10403B1CD531CC48C2B23E1688F7F49C23701A5583E9AF15063BDF8PCW5L" TargetMode="External"/><Relationship Id="rId13" Type="http://schemas.openxmlformats.org/officeDocument/2006/relationships/hyperlink" Target="consultantplus://offline/ref=56D6C8781951D1BD3C880EBA89B5D106588123BF7458CCFAC0BFEE34DCE4B4A5B36847A49BW5Y6L" TargetMode="External"/><Relationship Id="rId18" Type="http://schemas.openxmlformats.org/officeDocument/2006/relationships/hyperlink" Target="consultantplus://offline/ref=F6FF74D2430EEC35AEBCF0E188DBFE65727E4DC88EB1A50CBF5D0F92DA7D9960B855884FEBC8jBL" TargetMode="External"/><Relationship Id="rId26"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3" Type="http://schemas.openxmlformats.org/officeDocument/2006/relationships/settings" Target="settings.xml"/><Relationship Id="rId21" Type="http://schemas.openxmlformats.org/officeDocument/2006/relationships/hyperlink" Target="consultantplus://offline/ref=804569F62A4EB3C884844BF9044A1377EFA75C415212F1F6E1AC1EE78AdFq4I" TargetMode="External"/><Relationship Id="rId34"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7" Type="http://schemas.openxmlformats.org/officeDocument/2006/relationships/hyperlink" Target="consultantplus://offline/ref=7D4E2AC1EE25163A3139C27299B8CA311188A4F586F168A40A831FF8BFBDF11E98D41D3BA20ET2L" TargetMode="External"/><Relationship Id="rId12" Type="http://schemas.openxmlformats.org/officeDocument/2006/relationships/hyperlink" Target="consultantplus://offline/ref=56D6C8781951D1BD3C880EBA89B5D106588123BF7458CCFAC0BFEE34DCE4B4A5B36847A498W5Y8L" TargetMode="External"/><Relationship Id="rId17" Type="http://schemas.openxmlformats.org/officeDocument/2006/relationships/hyperlink" Target="consultantplus://offline/ref=EBB6F0DD81F9B8F4695D4267A4E4601DF819D4BE3216CF4985A11FF28410913E3C22C1B2E116hDL" TargetMode="External"/><Relationship Id="rId25"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33"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2" Type="http://schemas.openxmlformats.org/officeDocument/2006/relationships/styles" Target="styles.xml"/><Relationship Id="rId16" Type="http://schemas.openxmlformats.org/officeDocument/2006/relationships/hyperlink" Target="consultantplus://offline/ref=EBB6F0DD81F9B8F4695D4267A4E4601DF819D4BE3216CF4985A11FF28410913E3C22C1B2E116hEL" TargetMode="External"/><Relationship Id="rId20" Type="http://schemas.openxmlformats.org/officeDocument/2006/relationships/hyperlink" Target="consultantplus://offline/ref=D1A159B80B94C5E205E3EAC50F723FC5B5FDD05891797C8E3CAED8BCF28FF126BAA608E10CAB2F6Dq0kDL" TargetMode="External"/><Relationship Id="rId29"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1" Type="http://schemas.openxmlformats.org/officeDocument/2006/relationships/numbering" Target="numbering.xml"/><Relationship Id="rId6" Type="http://schemas.openxmlformats.org/officeDocument/2006/relationships/hyperlink" Target="consultantplus://offline/ref=FCC31F6B3ED20D85C59081FFAA52FCFACA87B18E1B7D1815A12559B730A26C8E1FB02CD4BDRBIAL" TargetMode="External"/><Relationship Id="rId11" Type="http://schemas.openxmlformats.org/officeDocument/2006/relationships/hyperlink" Target="consultantplus://offline/ref=8212DBE25F0B8ABEEDAF3824339BD82D447470B9061CDDF634A4C260B699133AA235C2D2A6OBADM" TargetMode="External"/><Relationship Id="rId24" Type="http://schemas.openxmlformats.org/officeDocument/2006/relationships/hyperlink" Target="consultantplus://offline/ref=804569F62A4EB3C884844BF9044A1377ECA55D4B5F17F1F6E1AC1EE78AF47C62E5A92E537458A8EAd5q4I" TargetMode="External"/><Relationship Id="rId32"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37" Type="http://schemas.openxmlformats.org/officeDocument/2006/relationships/theme" Target="theme/theme1.xml"/><Relationship Id="rId5" Type="http://schemas.openxmlformats.org/officeDocument/2006/relationships/hyperlink" Target="consultantplus://offline/ref=D4B5548EE3FEDBD3B3008876766738FEA6B98D7A2DEE6122E79B25C3DA9883B5FF9EDB1011o7FFL" TargetMode="External"/><Relationship Id="rId15" Type="http://schemas.openxmlformats.org/officeDocument/2006/relationships/hyperlink" Target="consultantplus://offline/ref=C9572F5D751DEFBE6547ECEFB1491EE7E2A07CDEB7705745B231EE245CF53A30A8294150B742a3L" TargetMode="External"/><Relationship Id="rId23" Type="http://schemas.openxmlformats.org/officeDocument/2006/relationships/hyperlink" Target="consultantplus://offline/ref=804569F62A4EB3C884844BF9044A1377EFA75A405313F1F6E1AC1EE78AF47C62E5A92E537458A9EBd5q5I" TargetMode="External"/><Relationship Id="rId28"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36" Type="http://schemas.openxmlformats.org/officeDocument/2006/relationships/fontTable" Target="fontTable.xml"/><Relationship Id="rId10" Type="http://schemas.openxmlformats.org/officeDocument/2006/relationships/hyperlink" Target="consultantplus://offline/ref=8212DBE25F0B8ABEEDAF3824339BD82D447470B9061CDDF634A4C260B699133AA235C2D2AEOBA5M" TargetMode="External"/><Relationship Id="rId19" Type="http://schemas.openxmlformats.org/officeDocument/2006/relationships/hyperlink" Target="consultantplus://offline/ref=8BBBADADCE86535CCBAC9AD01D35E21B659ABE7D93F6B8AB407ECC9FA85F5112D31B60FF85nAjFL" TargetMode="External"/><Relationship Id="rId31"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4" Type="http://schemas.openxmlformats.org/officeDocument/2006/relationships/webSettings" Target="webSettings.xml"/><Relationship Id="rId9" Type="http://schemas.openxmlformats.org/officeDocument/2006/relationships/hyperlink" Target="consultantplus://offline/ref=DAF2EC824DA422A9E3D10403B1CD531CC48C2B23E1688F7F49C23701A5583E9AF15063BDF8PCW1L" TargetMode="External"/><Relationship Id="rId14" Type="http://schemas.openxmlformats.org/officeDocument/2006/relationships/hyperlink" Target="consultantplus://offline/ref=C9572F5D751DEFBE6547ECEFB1491EE7E2A07CDEB7705745B231EE245CF53A30A8294150B442aAL" TargetMode="External"/><Relationship Id="rId22" Type="http://schemas.openxmlformats.org/officeDocument/2006/relationships/hyperlink" Target="consultantplus://offline/ref=804569F62A4EB3C884844BF9044A1377ECA55D4B5F17F1F6E1AC1EE78AF47C62E5A92E537458A8EAd5q4I" TargetMode="External"/><Relationship Id="rId27"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30"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 Id="rId35" Type="http://schemas.openxmlformats.org/officeDocument/2006/relationships/hyperlink" Target="file:///C:\Users\nazarkinsa\AppData\Local\Microsoft\Windows\Temporary%20Internet%20Files\Content.Outlook\H1SVVFPJ\%D0%A0%D1%83%D0%BA%D0%BE%D0%B2%D0%BE%D0%B4%D1%81%D1%82%D0%B2%D0%BE%20%D0%BF%D0%BE%20%D1%81%D0%BE%D0%B1%D0%BB%D1%8E%D0%B4%D0%B5%D0%BD%D0%B8%D1%8E%20%D0%BE%D0%B1%D1%8F%D0%B7%D0%B0%D1%82%D0%B5%D0%BB%D1%8C%D0%BD%D1%8B%D1%85%20%D1%82%D1%80%D0%B5%D0%B1%D0%BE%D0%B2%D0%B0%D0%BD%D0%B8%D0%B9%20(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5560</Words>
  <Characters>31696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dc:creator>
  <cp:keywords/>
  <dc:description/>
  <cp:lastModifiedBy>User9</cp:lastModifiedBy>
  <cp:revision>2</cp:revision>
  <dcterms:created xsi:type="dcterms:W3CDTF">2018-01-17T11:23:00Z</dcterms:created>
  <dcterms:modified xsi:type="dcterms:W3CDTF">2018-01-17T11:23:00Z</dcterms:modified>
</cp:coreProperties>
</file>